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 по оценке</w:t>
      </w:r>
      <w:r w:rsidR="007D5AB9"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эффективности муниципальной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30B39">
        <w:rPr>
          <w:rFonts w:ascii="Times New Roman" w:hAnsi="Times New Roman" w:cs="Times New Roman"/>
          <w:b/>
          <w:sz w:val="28"/>
          <w:szCs w:val="28"/>
        </w:rPr>
        <w:t>2018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F24B13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830B39"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 w:rsidR="00830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на реализацию </w:t>
      </w:r>
      <w:r w:rsidR="00830B39"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программы за счет средств местного бюджета  на</w:t>
      </w:r>
      <w:r w:rsidR="00830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2018 год предусмотрен в сумме 4073,4 тыс. рублей,  </w:t>
      </w:r>
      <w:r w:rsidR="00830B39">
        <w:rPr>
          <w:rFonts w:ascii="Times New Roman" w:hAnsi="Times New Roman" w:cs="Times New Roman"/>
          <w:sz w:val="28"/>
          <w:szCs w:val="28"/>
        </w:rPr>
        <w:t xml:space="preserve">всего бюджетные ассигнования на реализацию программы в 2018 году составили </w:t>
      </w:r>
      <w:r w:rsidR="00830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4073,4 тыс. рублей, освоено бюджетных ассигнований за отчетный период в сумме 3601,3. Сумма не освоенных в 2018 году бюджетных ассигнований составила 472,1  тыс. рублей, возникшая экономия в результате проведения электронных торгов, сумма не освоенных бюджетных ассигнований перенесена в бюджет на 2019 год на реализацию мероприятий данной программы.</w:t>
      </w:r>
    </w:p>
    <w:p w:rsidR="00420F8E" w:rsidRDefault="002F0A14" w:rsidP="00F24B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30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составе муниципальной программы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9F7E9B" w:rsidRPr="009F7E9B">
        <w:rPr>
          <w:rFonts w:ascii="Times New Roman" w:eastAsia="Calibri" w:hAnsi="Times New Roman" w:cs="Times New Roman"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9F7E9B">
        <w:rPr>
          <w:rFonts w:ascii="Times New Roman" w:eastAsia="Calibri" w:hAnsi="Times New Roman" w:cs="Times New Roman"/>
          <w:sz w:val="28"/>
          <w:szCs w:val="28"/>
        </w:rPr>
        <w:t>»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- программа)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78D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функционировала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одна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подпрограмм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:rsidR="00420F8E" w:rsidRDefault="00046CD9" w:rsidP="00420F8E">
      <w:pPr>
        <w:keepNext/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 w:rsidR="00420F8E"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420F8E"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="00420F8E"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 Кавказского района на 2015-2020</w:t>
      </w:r>
      <w:r w:rsidR="00420F8E"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="00420F8E" w:rsidRPr="00420F8E">
        <w:rPr>
          <w:rFonts w:ascii="Times New Roman" w:hAnsi="Times New Roman" w:cs="Times New Roman"/>
          <w:sz w:val="28"/>
          <w:szCs w:val="28"/>
        </w:rPr>
        <w:t>»</w:t>
      </w:r>
      <w:r w:rsidR="00420F8E">
        <w:rPr>
          <w:rFonts w:ascii="Times New Roman" w:hAnsi="Times New Roman" w:cs="Times New Roman"/>
          <w:sz w:val="28"/>
          <w:szCs w:val="28"/>
        </w:rPr>
        <w:t>;</w:t>
      </w:r>
    </w:p>
    <w:p w:rsidR="00830B39" w:rsidRPr="00A55E1B" w:rsidRDefault="0025554D" w:rsidP="00830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830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2018 году на территории Кавказского сельского поселения  было отремонтировано 20165 м., дорог в гравийном исполнении при целевом показателе муниципальной подпрограммы 400м., отремонтировано 3849 м., дорог в асфальтовом исполнении при целевом показателе муниципальной подпрограммы 500м.</w:t>
      </w:r>
    </w:p>
    <w:p w:rsidR="008A7C04" w:rsidRPr="00A55E1B" w:rsidRDefault="008A7C04" w:rsidP="00830B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Оплата взносов на капитальный ремонт общего 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30B3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F5753">
        <w:rPr>
          <w:rFonts w:ascii="Times New Roman" w:hAnsi="Times New Roman" w:cs="Times New Roman"/>
          <w:b/>
          <w:sz w:val="28"/>
          <w:szCs w:val="28"/>
        </w:rPr>
        <w:t>средней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3A15C0" w:rsidRPr="00D47BBE">
        <w:rPr>
          <w:rFonts w:ascii="Times New Roman" w:hAnsi="Times New Roman" w:cs="Times New Roman"/>
          <w:b/>
          <w:sz w:val="28"/>
          <w:szCs w:val="28"/>
        </w:rPr>
        <w:t>0</w:t>
      </w:r>
      <w:r w:rsidR="00E911E9" w:rsidRPr="00D47BBE">
        <w:rPr>
          <w:rFonts w:ascii="Times New Roman" w:hAnsi="Times New Roman" w:cs="Times New Roman"/>
          <w:b/>
          <w:sz w:val="28"/>
          <w:szCs w:val="28"/>
        </w:rPr>
        <w:t>,</w:t>
      </w:r>
      <w:r w:rsidR="000F5753" w:rsidRPr="00D47BBE">
        <w:rPr>
          <w:rFonts w:ascii="Times New Roman" w:hAnsi="Times New Roman" w:cs="Times New Roman"/>
          <w:b/>
          <w:sz w:val="28"/>
          <w:szCs w:val="28"/>
        </w:rPr>
        <w:t>8</w:t>
      </w:r>
      <w:r w:rsidR="00D47BBE" w:rsidRPr="00D47BBE">
        <w:rPr>
          <w:rFonts w:ascii="Times New Roman" w:hAnsi="Times New Roman" w:cs="Times New Roman"/>
          <w:b/>
          <w:sz w:val="28"/>
          <w:szCs w:val="28"/>
        </w:rPr>
        <w:t>2</w:t>
      </w:r>
    </w:p>
    <w:p w:rsidR="00D134E3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8C57B0" w:rsidRDefault="008C57B0" w:rsidP="008C57B0">
      <w:pPr>
        <w:pStyle w:val="3"/>
        <w:ind w:firstLine="708"/>
        <w:rPr>
          <w:b/>
          <w:i w:val="0"/>
        </w:rPr>
      </w:pPr>
      <w:r>
        <w:rPr>
          <w:i w:val="0"/>
        </w:rPr>
        <w:t>Исходя из того, что эффективность реализации муниципальной программы «</w:t>
      </w:r>
      <w:r w:rsidRPr="008C57B0">
        <w:rPr>
          <w:rFonts w:eastAsia="Calibri"/>
          <w:i w:val="0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>
        <w:rPr>
          <w:i w:val="0"/>
        </w:rPr>
        <w:t xml:space="preserve">» </w:t>
      </w:r>
      <w:r>
        <w:rPr>
          <w:i w:val="0"/>
        </w:rPr>
        <w:t>средняя</w:t>
      </w:r>
      <w:r>
        <w:rPr>
          <w:i w:val="0"/>
        </w:rPr>
        <w:t xml:space="preserve">, считаем </w:t>
      </w:r>
      <w:proofErr w:type="gramStart"/>
      <w:r>
        <w:rPr>
          <w:i w:val="0"/>
        </w:rPr>
        <w:t>целесообразным  продолжить</w:t>
      </w:r>
      <w:proofErr w:type="gramEnd"/>
      <w:r>
        <w:rPr>
          <w:i w:val="0"/>
        </w:rPr>
        <w:t xml:space="preserve"> реализовывать в 2019 году.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за </w:t>
      </w:r>
      <w:r w:rsidR="00830B3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2018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20165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/400</w:t>
      </w:r>
      <w:r w:rsidR="00C674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50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41</w:t>
      </w:r>
    </w:p>
    <w:p w:rsidR="008D0C4D" w:rsidRDefault="008D0C4D" w:rsidP="008D0C4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3849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/500 =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69</w:t>
      </w:r>
      <w:r w:rsidR="00FD2E5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</w:p>
    <w:p w:rsidR="008D0C4D" w:rsidRDefault="008D0C4D" w:rsidP="008D0C4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50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,4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1+7,69=58,1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P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в сумме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&gt;1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значит принимается</w:t>
      </w:r>
    </w:p>
    <w:p w:rsidR="00283D92" w:rsidRPr="00134A88" w:rsidRDefault="008D0C4D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 1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786CDE" w:rsidRDefault="00786CDE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134A88" w:rsidRP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2018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;</w:t>
      </w:r>
    </w:p>
    <w:p w:rsidR="004E0C49" w:rsidRDefault="00134A88" w:rsidP="00134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2E186A" w:rsidRDefault="002E186A" w:rsidP="00134A88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P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bookmarkEnd w:id="1"/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</w:p>
    <w:p w:rsidR="001B4AF1" w:rsidRDefault="00FD2E5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1/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 w:rsidR="00420F8E" w:rsidRPr="00F27AF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1104BC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5</w:t>
      </w:r>
      <w:r w:rsid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где, 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равным 1.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BD503E" w:rsidRDefault="00BD503E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8C57B0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.5pt;margin-top:12.8pt;width:286.8pt;height:35.7pt;z-index:251660288;mso-height-percent:200;mso-height-percent:200;mso-width-relative:margin;mso-height-relative:margin" filled="f" stroked="f">
            <v:textbox style="mso-fit-shape-to-text:t">
              <w:txbxContent>
                <w:p w:rsidR="00D134E3" w:rsidRPr="00D134E3" w:rsidRDefault="00420F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B4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= 0,5*0,5</w:t>
                  </w:r>
                  <w:r w:rsidR="00F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+0,5*1,</w:t>
                  </w:r>
                  <w:r w:rsidR="00830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0F57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0F575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0,85</w:t>
                  </w:r>
                  <w:r w:rsidR="00D134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где, </w:t>
                  </w:r>
                </w:p>
              </w:txbxContent>
            </v:textbox>
          </v:shape>
        </w:pic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proofErr w:type="gram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1,13</w:t>
      </w:r>
      <w:r w:rsid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(Подпрограмма – Кап. Ремонт дорог)</w:t>
      </w:r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п = </w:t>
      </w:r>
      <w:r w:rsidR="001104BC" w:rsidRP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BF028B" w:rsidRP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,</w:t>
      </w:r>
      <w:r w:rsid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13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proofErr w:type="gram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3601,3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D47BB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3601,3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5753" w:rsidRPr="000F575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2E186A" w:rsidRDefault="002E186A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/п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1632BB" w:rsidRPr="00A25C96" w:rsidRDefault="001632BB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подпрограммы  в</w:t>
      </w:r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bookmarkStart w:id="3" w:name="sub_1082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  <w:bookmarkEnd w:id="3"/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2D30BB" w:rsidRDefault="00F27AFA" w:rsidP="001632BB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8B4565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</w:t>
      </w:r>
      <w:r w:rsidR="004C70E9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0F575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8</w:t>
      </w:r>
      <w:r w:rsidR="00D47BBE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F575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средней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3A15C0" w:rsidRDefault="003A15C0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Заместитель главы Кавказского</w:t>
      </w:r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сельского поселения                                                               Е.А. Короленко</w:t>
      </w:r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3682C"/>
    <w:rsid w:val="000374B5"/>
    <w:rsid w:val="00046CD9"/>
    <w:rsid w:val="00056412"/>
    <w:rsid w:val="000A3481"/>
    <w:rsid w:val="000F5753"/>
    <w:rsid w:val="001104BC"/>
    <w:rsid w:val="00134A88"/>
    <w:rsid w:val="001632BB"/>
    <w:rsid w:val="001B4AF1"/>
    <w:rsid w:val="001C2AB5"/>
    <w:rsid w:val="0025554D"/>
    <w:rsid w:val="00283D92"/>
    <w:rsid w:val="00283E2E"/>
    <w:rsid w:val="00284478"/>
    <w:rsid w:val="002D30BB"/>
    <w:rsid w:val="002E186A"/>
    <w:rsid w:val="002F0A14"/>
    <w:rsid w:val="003653A0"/>
    <w:rsid w:val="00377749"/>
    <w:rsid w:val="003A15C0"/>
    <w:rsid w:val="003A7C23"/>
    <w:rsid w:val="00420F8E"/>
    <w:rsid w:val="00460B4E"/>
    <w:rsid w:val="00476CC5"/>
    <w:rsid w:val="004C70E9"/>
    <w:rsid w:val="004E0C49"/>
    <w:rsid w:val="00545F99"/>
    <w:rsid w:val="005E77A9"/>
    <w:rsid w:val="006619AF"/>
    <w:rsid w:val="00675B8E"/>
    <w:rsid w:val="006876F0"/>
    <w:rsid w:val="006B1697"/>
    <w:rsid w:val="006C6F2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30B39"/>
    <w:rsid w:val="00854D48"/>
    <w:rsid w:val="008A7C04"/>
    <w:rsid w:val="008B161A"/>
    <w:rsid w:val="008B4565"/>
    <w:rsid w:val="008B5FCB"/>
    <w:rsid w:val="008C57B0"/>
    <w:rsid w:val="008D0C4D"/>
    <w:rsid w:val="00904F5F"/>
    <w:rsid w:val="009107AD"/>
    <w:rsid w:val="00930500"/>
    <w:rsid w:val="00982AB1"/>
    <w:rsid w:val="009C204E"/>
    <w:rsid w:val="009F7E9B"/>
    <w:rsid w:val="00A23268"/>
    <w:rsid w:val="00A44D07"/>
    <w:rsid w:val="00A478D3"/>
    <w:rsid w:val="00A55E1B"/>
    <w:rsid w:val="00A979F4"/>
    <w:rsid w:val="00AC3198"/>
    <w:rsid w:val="00B2081B"/>
    <w:rsid w:val="00B45A84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4260"/>
    <w:rsid w:val="00C961AB"/>
    <w:rsid w:val="00D0754B"/>
    <w:rsid w:val="00D134E3"/>
    <w:rsid w:val="00D31CD7"/>
    <w:rsid w:val="00D47BBE"/>
    <w:rsid w:val="00D85071"/>
    <w:rsid w:val="00DD295D"/>
    <w:rsid w:val="00E82672"/>
    <w:rsid w:val="00E911E9"/>
    <w:rsid w:val="00EC138C"/>
    <w:rsid w:val="00F06903"/>
    <w:rsid w:val="00F24B13"/>
    <w:rsid w:val="00F27AFA"/>
    <w:rsid w:val="00F64743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CAC50E0-DEF0-43AB-AF6A-8B60A4A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61A"/>
  </w:style>
  <w:style w:type="paragraph" w:styleId="3">
    <w:name w:val="heading 3"/>
    <w:basedOn w:val="a"/>
    <w:link w:val="30"/>
    <w:qFormat/>
    <w:rsid w:val="008C57B0"/>
    <w:pPr>
      <w:keepNext/>
      <w:suppressAutoHyphens/>
      <w:spacing w:after="0" w:line="240" w:lineRule="auto"/>
      <w:ind w:firstLine="709"/>
      <w:jc w:val="both"/>
      <w:textAlignment w:val="baseline"/>
      <w:outlineLvl w:val="2"/>
    </w:pPr>
    <w:rPr>
      <w:rFonts w:ascii="Times New Roman" w:eastAsia="Times New Roman" w:hAnsi="Times New Roman" w:cs="Times New Roman"/>
      <w:bCs/>
      <w:i/>
      <w:color w:val="00000A"/>
      <w:sz w:val="28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  <w:style w:type="character" w:customStyle="1" w:styleId="30">
    <w:name w:val="Заголовок 3 Знак"/>
    <w:basedOn w:val="a0"/>
    <w:link w:val="3"/>
    <w:qFormat/>
    <w:rsid w:val="008C57B0"/>
    <w:rPr>
      <w:rFonts w:ascii="Times New Roman" w:eastAsia="Times New Roman" w:hAnsi="Times New Roman" w:cs="Times New Roman"/>
      <w:bCs/>
      <w:i/>
      <w:color w:val="00000A"/>
      <w:sz w:val="28"/>
      <w:szCs w:val="2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Рябинина</cp:lastModifiedBy>
  <cp:revision>31</cp:revision>
  <cp:lastPrinted>2019-03-14T07:16:00Z</cp:lastPrinted>
  <dcterms:created xsi:type="dcterms:W3CDTF">2016-03-16T08:11:00Z</dcterms:created>
  <dcterms:modified xsi:type="dcterms:W3CDTF">2019-03-14T07:18:00Z</dcterms:modified>
</cp:coreProperties>
</file>