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C5" w:rsidRPr="005238A0" w:rsidRDefault="005B62E1" w:rsidP="00B10E48">
      <w:pPr>
        <w:shd w:val="clear" w:color="auto" w:fill="FFFFFF"/>
        <w:ind w:firstLine="4195"/>
        <w:jc w:val="center"/>
      </w:pPr>
      <w:r w:rsidRPr="005238A0">
        <w:rPr>
          <w:sz w:val="28"/>
          <w:szCs w:val="28"/>
        </w:rPr>
        <w:t>приложение №2</w:t>
      </w:r>
    </w:p>
    <w:p w:rsidR="00921FC5" w:rsidRPr="005238A0" w:rsidRDefault="005B62E1" w:rsidP="00B10E48">
      <w:pPr>
        <w:shd w:val="clear" w:color="auto" w:fill="FFFFFF"/>
        <w:jc w:val="center"/>
      </w:pPr>
      <w:r w:rsidRPr="005238A0">
        <w:rPr>
          <w:sz w:val="28"/>
          <w:szCs w:val="28"/>
        </w:rPr>
        <w:t xml:space="preserve">                                                                              к муниципальной программе 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center"/>
        <w:rPr>
          <w:sz w:val="28"/>
          <w:szCs w:val="28"/>
        </w:rPr>
      </w:pP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ПАСПОРТ </w:t>
      </w:r>
    </w:p>
    <w:p w:rsidR="00921FC5" w:rsidRPr="005238A0" w:rsidRDefault="005B62E1" w:rsidP="00B10E48">
      <w:pPr>
        <w:jc w:val="center"/>
        <w:rPr>
          <w:b/>
          <w:bCs/>
          <w:sz w:val="28"/>
          <w:szCs w:val="28"/>
        </w:rPr>
      </w:pPr>
      <w:r w:rsidRPr="005238A0">
        <w:rPr>
          <w:b/>
          <w:bCs/>
          <w:sz w:val="28"/>
          <w:szCs w:val="28"/>
        </w:rPr>
        <w:t xml:space="preserve">подпрограммы </w:t>
      </w:r>
    </w:p>
    <w:p w:rsidR="00921FC5" w:rsidRPr="005238A0" w:rsidRDefault="005B62E1" w:rsidP="00B10E48">
      <w:pPr>
        <w:jc w:val="center"/>
      </w:pPr>
      <w:r w:rsidRPr="005238A0">
        <w:rPr>
          <w:b/>
          <w:bCs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E645CC" w:rsidRPr="005238A0">
        <w:rPr>
          <w:b/>
          <w:bCs/>
          <w:sz w:val="28"/>
          <w:szCs w:val="28"/>
        </w:rPr>
        <w:t>2022</w:t>
      </w:r>
      <w:r w:rsidRPr="005238A0">
        <w:rPr>
          <w:b/>
          <w:bCs/>
          <w:sz w:val="28"/>
          <w:szCs w:val="28"/>
        </w:rPr>
        <w:t xml:space="preserve"> годы»</w:t>
      </w: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p w:rsidR="00921FC5" w:rsidRPr="005238A0" w:rsidRDefault="00921FC5" w:rsidP="00B10E48">
      <w:pPr>
        <w:ind w:firstLine="900"/>
        <w:jc w:val="both"/>
        <w:rPr>
          <w:sz w:val="28"/>
          <w:szCs w:val="28"/>
        </w:rPr>
      </w:pPr>
    </w:p>
    <w:tbl>
      <w:tblPr>
        <w:tblW w:w="10403" w:type="dxa"/>
        <w:tblInd w:w="-580" w:type="dxa"/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2984"/>
        <w:gridCol w:w="7419"/>
      </w:tblGrid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Координатор</w:t>
            </w:r>
          </w:p>
          <w:p w:rsidR="00921FC5" w:rsidRPr="005238A0" w:rsidRDefault="005B62E1" w:rsidP="00B10E48">
            <w:pPr>
              <w:widowControl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right="5"/>
            </w:pPr>
            <w:r w:rsidRPr="005238A0">
              <w:rPr>
                <w:sz w:val="28"/>
                <w:szCs w:val="28"/>
              </w:rPr>
              <w:t>Администрация Кавказского сельского поселения Кавказского района</w:t>
            </w:r>
          </w:p>
          <w:p w:rsidR="00921FC5" w:rsidRPr="005238A0" w:rsidRDefault="00921FC5" w:rsidP="00B10E48">
            <w:pPr>
              <w:widowControl w:val="0"/>
              <w:snapToGrid w:val="0"/>
              <w:ind w:right="5"/>
              <w:rPr>
                <w:sz w:val="28"/>
                <w:szCs w:val="28"/>
              </w:rPr>
            </w:pP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Участники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left="23" w:right="5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Не предусмотрены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Цели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tabs>
                <w:tab w:val="left" w:pos="851"/>
              </w:tabs>
              <w:snapToGrid w:val="0"/>
              <w:ind w:firstLine="5"/>
              <w:jc w:val="both"/>
            </w:pPr>
            <w:r w:rsidRPr="005238A0">
              <w:rPr>
                <w:sz w:val="28"/>
                <w:szCs w:val="28"/>
              </w:rPr>
              <w:t>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  <w:p w:rsidR="00921FC5" w:rsidRPr="005238A0" w:rsidRDefault="00921FC5" w:rsidP="00B10E48">
            <w:pPr>
              <w:widowControl w:val="0"/>
              <w:tabs>
                <w:tab w:val="left" w:pos="851"/>
              </w:tabs>
              <w:snapToGrid w:val="0"/>
              <w:ind w:hanging="108"/>
              <w:jc w:val="both"/>
              <w:rPr>
                <w:sz w:val="28"/>
                <w:szCs w:val="28"/>
              </w:rPr>
            </w:pPr>
          </w:p>
        </w:tc>
      </w:tr>
      <w:tr w:rsidR="00921FC5" w:rsidRPr="005238A0">
        <w:trPr>
          <w:trHeight w:val="1769"/>
        </w:trPr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Задачи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предупреждение опасного поведения участников дорожного движения;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-сокращение детского дорожно-транспортного травматизма;</w:t>
            </w:r>
          </w:p>
          <w:p w:rsidR="00921FC5" w:rsidRPr="005238A0" w:rsidRDefault="005B62E1" w:rsidP="00B10E48">
            <w:pPr>
              <w:widowControl w:val="0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-совершенствование организации движения транспорта и пешеходов в станице Кавказской;</w:t>
            </w:r>
          </w:p>
          <w:p w:rsidR="00921FC5" w:rsidRPr="005238A0" w:rsidRDefault="005B62E1" w:rsidP="00B10E48">
            <w:pPr>
              <w:widowControl w:val="0"/>
              <w:snapToGrid w:val="0"/>
              <w:ind w:hanging="108"/>
              <w:jc w:val="both"/>
              <w:rPr>
                <w:sz w:val="28"/>
                <w:szCs w:val="28"/>
              </w:rPr>
            </w:pPr>
            <w:r w:rsidRPr="005238A0">
              <w:rPr>
                <w:sz w:val="28"/>
                <w:szCs w:val="28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921FC5" w:rsidRPr="005238A0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5238A0">
              <w:rPr>
                <w:b/>
                <w:bCs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5238A0" w:rsidRDefault="005B62E1" w:rsidP="00B10E48">
            <w:pPr>
              <w:widowControl w:val="0"/>
              <w:snapToGrid w:val="0"/>
              <w:jc w:val="both"/>
            </w:pPr>
            <w:r w:rsidRPr="005238A0">
              <w:rPr>
                <w:bCs/>
                <w:sz w:val="28"/>
                <w:szCs w:val="28"/>
              </w:rPr>
              <w:t>- протяженность отремонтированных дорог в гравийном исполнении</w:t>
            </w:r>
            <w:r w:rsidRPr="005238A0">
              <w:rPr>
                <w:sz w:val="28"/>
                <w:szCs w:val="28"/>
              </w:rPr>
              <w:t>;</w:t>
            </w:r>
          </w:p>
          <w:p w:rsidR="00921FC5" w:rsidRPr="005238A0" w:rsidRDefault="005B62E1" w:rsidP="00B10E48">
            <w:pPr>
              <w:widowControl w:val="0"/>
              <w:jc w:val="both"/>
            </w:pPr>
            <w:r w:rsidRPr="005238A0">
              <w:rPr>
                <w:sz w:val="28"/>
                <w:szCs w:val="28"/>
              </w:rPr>
              <w:t xml:space="preserve">- </w:t>
            </w:r>
            <w:r w:rsidRPr="005238A0">
              <w:rPr>
                <w:bCs/>
                <w:sz w:val="28"/>
                <w:szCs w:val="28"/>
              </w:rPr>
              <w:t>протяженность асфальтированных дорог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B10E48">
            <w:pPr>
              <w:widowControl w:val="0"/>
              <w:snapToGrid w:val="0"/>
              <w:ind w:left="54"/>
            </w:pPr>
            <w:r w:rsidRPr="003124A6">
              <w:rPr>
                <w:sz w:val="28"/>
                <w:szCs w:val="28"/>
              </w:rPr>
              <w:t>2015-2022 годы</w:t>
            </w:r>
          </w:p>
        </w:tc>
      </w:tr>
      <w:tr w:rsidR="00921FC5" w:rsidRPr="003124A6">
        <w:tc>
          <w:tcPr>
            <w:tcW w:w="2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rPr>
                <w:b/>
                <w:bCs/>
                <w:sz w:val="28"/>
                <w:szCs w:val="28"/>
              </w:rPr>
            </w:pPr>
            <w:r w:rsidRPr="003124A6">
              <w:rPr>
                <w:b/>
                <w:bCs/>
                <w:sz w:val="28"/>
                <w:szCs w:val="28"/>
              </w:rPr>
              <w:t>Объёмы бюджетных ассигнований  подпрограммы</w:t>
            </w:r>
          </w:p>
        </w:tc>
        <w:tc>
          <w:tcPr>
            <w:tcW w:w="7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jc w:val="both"/>
            </w:pPr>
            <w:r w:rsidRPr="003124A6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321FF9" w:rsidRPr="003124A6">
              <w:rPr>
                <w:sz w:val="28"/>
                <w:szCs w:val="28"/>
                <w:shd w:val="clear" w:color="auto" w:fill="FFFFFF"/>
              </w:rPr>
              <w:t>55354,4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  <w:r w:rsidRPr="003124A6">
              <w:rPr>
                <w:sz w:val="28"/>
                <w:szCs w:val="28"/>
              </w:rPr>
              <w:t xml:space="preserve">, </w:t>
            </w:r>
          </w:p>
          <w:p w:rsidR="00921FC5" w:rsidRPr="003124A6" w:rsidRDefault="005B62E1" w:rsidP="00B10E48">
            <w:pPr>
              <w:widowControl w:val="0"/>
              <w:snapToGrid w:val="0"/>
              <w:jc w:val="both"/>
            </w:pPr>
            <w:r w:rsidRPr="003124A6">
              <w:rPr>
                <w:sz w:val="28"/>
                <w:szCs w:val="28"/>
              </w:rPr>
              <w:t xml:space="preserve">в том числе за счет средств местного бюджета, из них: </w:t>
            </w:r>
            <w:r w:rsidR="00321FF9" w:rsidRPr="003124A6">
              <w:rPr>
                <w:sz w:val="28"/>
                <w:szCs w:val="28"/>
                <w:shd w:val="clear" w:color="auto" w:fill="FFFFFF"/>
              </w:rPr>
              <w:t>34914,6</w:t>
            </w:r>
            <w:r w:rsidRPr="003124A6">
              <w:rPr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  <w:r w:rsidRPr="003124A6">
              <w:rPr>
                <w:sz w:val="28"/>
                <w:szCs w:val="28"/>
              </w:rPr>
              <w:t>,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3062,5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lastRenderedPageBreak/>
              <w:t xml:space="preserve">в 2016 году -  3977,6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 3939,7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</w:pPr>
            <w:r w:rsidRPr="003124A6">
              <w:rPr>
                <w:sz w:val="28"/>
                <w:szCs w:val="28"/>
              </w:rPr>
              <w:t xml:space="preserve">в 2018 году - 4073,4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</w:pPr>
            <w:r w:rsidRPr="003124A6">
              <w:rPr>
                <w:sz w:val="28"/>
                <w:szCs w:val="28"/>
              </w:rPr>
              <w:t xml:space="preserve">в 2019 году - </w:t>
            </w:r>
            <w:r w:rsidRPr="003124A6">
              <w:rPr>
                <w:color w:val="auto"/>
                <w:sz w:val="28"/>
                <w:szCs w:val="28"/>
              </w:rPr>
              <w:t>3800,0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– </w:t>
            </w:r>
            <w:r w:rsidRPr="003124A6">
              <w:rPr>
                <w:sz w:val="28"/>
                <w:szCs w:val="28"/>
                <w:shd w:val="clear" w:color="auto" w:fill="FFFFFF"/>
              </w:rPr>
              <w:t>4887,5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– 5530,5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</w:t>
            </w:r>
            <w:r w:rsidR="003B7559" w:rsidRPr="003124A6">
              <w:rPr>
                <w:sz w:val="28"/>
                <w:szCs w:val="28"/>
              </w:rPr>
              <w:t>–</w:t>
            </w:r>
            <w:r w:rsidRPr="003124A6">
              <w:rPr>
                <w:sz w:val="28"/>
                <w:szCs w:val="28"/>
              </w:rPr>
              <w:t xml:space="preserve"> </w:t>
            </w:r>
            <w:r w:rsidR="00321FF9" w:rsidRPr="003124A6">
              <w:rPr>
                <w:sz w:val="28"/>
                <w:szCs w:val="28"/>
              </w:rPr>
              <w:t>5643,4</w:t>
            </w:r>
            <w:r w:rsidRPr="003124A6">
              <w:rPr>
                <w:sz w:val="28"/>
                <w:szCs w:val="28"/>
              </w:rPr>
              <w:t xml:space="preserve">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921FC5" w:rsidP="00B10E48">
            <w:pPr>
              <w:widowControl w:val="0"/>
              <w:rPr>
                <w:sz w:val="28"/>
                <w:szCs w:val="28"/>
              </w:rPr>
            </w:pPr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>в том числе за счет сре</w:t>
            </w:r>
            <w:proofErr w:type="gramStart"/>
            <w:r w:rsidRPr="003124A6">
              <w:rPr>
                <w:sz w:val="28"/>
                <w:szCs w:val="28"/>
              </w:rPr>
              <w:t>дств кр</w:t>
            </w:r>
            <w:proofErr w:type="gramEnd"/>
            <w:r w:rsidRPr="003124A6">
              <w:rPr>
                <w:sz w:val="28"/>
                <w:szCs w:val="28"/>
              </w:rPr>
              <w:t>аевого бюджета, из них: 20439,8 тыс. рублей</w:t>
            </w:r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2015 году -  1000,0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2016 году -  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2017 году - 0,0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2018 году - 0,0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2019 году - 3985,4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</w:t>
            </w:r>
            <w:r w:rsidR="00E645CC" w:rsidRPr="003124A6">
              <w:rPr>
                <w:sz w:val="28"/>
                <w:szCs w:val="28"/>
              </w:rPr>
              <w:t>202</w:t>
            </w:r>
            <w:r w:rsidR="009D37A4" w:rsidRPr="003124A6">
              <w:rPr>
                <w:sz w:val="28"/>
                <w:szCs w:val="28"/>
              </w:rPr>
              <w:t>0</w:t>
            </w:r>
            <w:r w:rsidRPr="003124A6">
              <w:rPr>
                <w:sz w:val="28"/>
                <w:szCs w:val="28"/>
              </w:rPr>
              <w:t xml:space="preserve"> году - 7967,2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2021 году -  7487,2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5B62E1" w:rsidP="00B10E48">
            <w:pPr>
              <w:widowControl w:val="0"/>
              <w:rPr>
                <w:sz w:val="28"/>
                <w:szCs w:val="28"/>
              </w:rPr>
            </w:pPr>
            <w:r w:rsidRPr="003124A6">
              <w:rPr>
                <w:sz w:val="28"/>
                <w:szCs w:val="28"/>
              </w:rPr>
              <w:t xml:space="preserve">в 2022 году - 0,0 </w:t>
            </w:r>
            <w:proofErr w:type="spellStart"/>
            <w:r w:rsidRPr="003124A6">
              <w:rPr>
                <w:sz w:val="28"/>
                <w:szCs w:val="28"/>
              </w:rPr>
              <w:t>тыс</w:t>
            </w:r>
            <w:proofErr w:type="gramStart"/>
            <w:r w:rsidRPr="003124A6">
              <w:rPr>
                <w:sz w:val="28"/>
                <w:szCs w:val="28"/>
              </w:rPr>
              <w:t>.р</w:t>
            </w:r>
            <w:proofErr w:type="gramEnd"/>
            <w:r w:rsidRPr="003124A6">
              <w:rPr>
                <w:sz w:val="28"/>
                <w:szCs w:val="28"/>
              </w:rPr>
              <w:t>ублей</w:t>
            </w:r>
            <w:proofErr w:type="spellEnd"/>
          </w:p>
          <w:p w:rsidR="00921FC5" w:rsidRPr="003124A6" w:rsidRDefault="00921FC5" w:rsidP="00B10E48">
            <w:pPr>
              <w:widowControl w:val="0"/>
              <w:snapToGrid w:val="0"/>
              <w:jc w:val="both"/>
            </w:pPr>
          </w:p>
          <w:p w:rsidR="00921FC5" w:rsidRPr="003124A6" w:rsidRDefault="00921FC5" w:rsidP="00B10E48">
            <w:pPr>
              <w:widowControl w:val="0"/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1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________________Е.А. Короленко</w:t>
      </w:r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921FC5" w:rsidP="00B10E48">
      <w:pPr>
        <w:ind w:firstLine="19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  <w:rPr>
          <w:b/>
          <w:bCs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1. Характеристика текущего состояния и прогноз развития реализации подпрограммы в сфере капитального ремонта и </w:t>
      </w:r>
      <w:proofErr w:type="gramStart"/>
      <w:r w:rsidRPr="003124A6">
        <w:rPr>
          <w:b/>
          <w:bCs/>
          <w:sz w:val="28"/>
          <w:szCs w:val="28"/>
        </w:rPr>
        <w:t>ремонта</w:t>
      </w:r>
      <w:proofErr w:type="gramEnd"/>
      <w:r w:rsidRPr="003124A6">
        <w:rPr>
          <w:b/>
          <w:bCs/>
          <w:sz w:val="28"/>
          <w:szCs w:val="28"/>
        </w:rPr>
        <w:t xml:space="preserve"> автомобильных дорог местного значения Кавказского сельского поселения Кавказского района</w:t>
      </w:r>
    </w:p>
    <w:p w:rsidR="00921FC5" w:rsidRPr="003124A6" w:rsidRDefault="00921FC5" w:rsidP="00B10E48">
      <w:pPr>
        <w:jc w:val="both"/>
        <w:rPr>
          <w:b/>
          <w:bCs/>
          <w:sz w:val="28"/>
          <w:szCs w:val="28"/>
        </w:rPr>
      </w:pP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Проблема аварийности, связанная с автомобильным транспортом (далее - аварийность), в последнее десятилетие приобрела особую остроту в связи с несоответствием дорожно-транспортной инфраструктуры потребностям общества и государства в безопасном дорожном движении, недостаточной эффективностью </w:t>
      </w:r>
      <w:proofErr w:type="gramStart"/>
      <w:r w:rsidRPr="003124A6">
        <w:rPr>
          <w:sz w:val="28"/>
          <w:szCs w:val="28"/>
        </w:rPr>
        <w:t>функционирования системы обеспечения безопасности дорожного движения</w:t>
      </w:r>
      <w:proofErr w:type="gramEnd"/>
      <w:r w:rsidRPr="003124A6">
        <w:rPr>
          <w:sz w:val="28"/>
          <w:szCs w:val="28"/>
        </w:rPr>
        <w:t xml:space="preserve"> и крайне низкой дисциплиной участников дорожного движения.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Краснодарский край по уровню автомобилизации занимает ведущее место среди регионов Южного федерального округа и входит в тройку самых моторизованных субъектов Российской Федерации. На каждую тысячу человек населения зарегистрировано 296 единиц автомототранспортных средств, что на 26,8 процента выше среднего показателя по России. В Кавказском сельском поселении Кавказского района зарегистрировано 4970 транспортных средств. </w:t>
      </w:r>
    </w:p>
    <w:p w:rsidR="00921FC5" w:rsidRPr="003124A6" w:rsidRDefault="005B62E1" w:rsidP="00B10E48">
      <w:pPr>
        <w:ind w:firstLine="851"/>
        <w:jc w:val="both"/>
      </w:pPr>
      <w:r w:rsidRPr="003124A6">
        <w:rPr>
          <w:sz w:val="28"/>
          <w:szCs w:val="28"/>
        </w:rPr>
        <w:t xml:space="preserve">Протяженность дорог общего пользования местного значения на территории Кавказского сельского поселения Кавказского района составляет </w:t>
      </w:r>
      <w:r w:rsidR="00321FF9" w:rsidRPr="003124A6">
        <w:rPr>
          <w:sz w:val="28"/>
          <w:szCs w:val="28"/>
        </w:rPr>
        <w:lastRenderedPageBreak/>
        <w:t xml:space="preserve">63,489 </w:t>
      </w:r>
      <w:r w:rsidRPr="003124A6">
        <w:rPr>
          <w:sz w:val="28"/>
          <w:szCs w:val="28"/>
        </w:rPr>
        <w:t xml:space="preserve">км, из них грунтовые дороги – </w:t>
      </w:r>
      <w:r w:rsidR="00321FF9" w:rsidRPr="003124A6">
        <w:rPr>
          <w:sz w:val="28"/>
          <w:szCs w:val="28"/>
        </w:rPr>
        <w:t>1,050</w:t>
      </w:r>
      <w:r w:rsidRPr="003124A6">
        <w:rPr>
          <w:sz w:val="28"/>
          <w:szCs w:val="28"/>
        </w:rPr>
        <w:t xml:space="preserve"> км, дороги с асфальтобетонным покрытием – </w:t>
      </w:r>
      <w:r w:rsidR="00321FF9" w:rsidRPr="003124A6">
        <w:rPr>
          <w:sz w:val="28"/>
          <w:szCs w:val="28"/>
        </w:rPr>
        <w:t>22,892</w:t>
      </w:r>
      <w:r w:rsidRPr="003124A6">
        <w:rPr>
          <w:sz w:val="28"/>
          <w:szCs w:val="28"/>
        </w:rPr>
        <w:t xml:space="preserve"> км, дороги с гравийным покрытием – </w:t>
      </w:r>
      <w:r w:rsidR="00321FF9" w:rsidRPr="003124A6">
        <w:rPr>
          <w:sz w:val="28"/>
          <w:szCs w:val="28"/>
        </w:rPr>
        <w:t>39,547</w:t>
      </w:r>
      <w:r w:rsidRPr="003124A6">
        <w:rPr>
          <w:sz w:val="28"/>
          <w:szCs w:val="28"/>
        </w:rPr>
        <w:t xml:space="preserve"> км. 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Опережающие темпы оживления секторов экономики усиливают проблему безопасности дорожного движения. При этом постоянную опасность создают так называемые "конфликтные" точки и "очаги" аварийности, расположенные на перекрестках, в зонах пешеходных переходов, на крутых поворотах и других местах, имеющих недостатки в техническом содержании и дорожном обустройстве.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Основное влияние на уровень аварийности оказывают водители транспортных средств. Наиболее распространенными причинами совершения ДТП явились пренебрежительное отношение водителей к нормам и правилам, действующим в сфере дорожного движения, отсутствие должных навыков вождения, неумение адекватно реагировать на сложившуюся дорожную обстановку.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Проблемы существуют и в дорожном комплексе - недостаточное освещение улично-дорожной сети, неисправное освещение, несоответствие состояния дорожного покрытия установленным нормативам способствует увеличению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Аварийность на дорогах Кавказского сельского поселения Кавказского района объясняется следующими основными причинами: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-постоянно возрастающая мобильность населения;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-уменьшение перевозок общественным транспортом и увеличение перевозок личным транспортом;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-нарастающая диспропорция между увеличением количества автомобилей и протяженностью улично-дорожной сети, не рассчитанной на современные транспортные потоки.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Следствием такого положения дел является ухудшение условий дорожного движения, нарушение экологической обстановки, увеличение количества заторов, расхода топлива, а также рост количества дорожно-транспортных происшествий.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proofErr w:type="gramStart"/>
      <w:r w:rsidRPr="003124A6">
        <w:rPr>
          <w:sz w:val="28"/>
          <w:szCs w:val="28"/>
        </w:rPr>
        <w:t>Ухудшение обстановки с аварийностью и наличие проблемы обеспечения безопасности дорожного движения требуют реализации долгосрочной муниципальной политики, координации усилий органов местного самоуправления Кавказского сельского поселения Кавказского района и общества, концентрации местных ресурсов, а также формирования эффективных механизмов взаимодействия органов местного самоуправления, общественных институтов и негосударственных структур при возможно более полном учете интересов граждан.</w:t>
      </w:r>
      <w:proofErr w:type="gramEnd"/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В условиях отсутствия комплексных мер, направленных на повышение безопасности дорожного движения на территории Кавказского сельского поселения Кавказского района, ситуация будет ухудшаться.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Таким образом, необходимость разработки и реализации подпрограммы обусловлена следующими причинами: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социально-экономическая острота проблемы обеспечения безопасности дорожного движения;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lastRenderedPageBreak/>
        <w:t>- межотраслевой и межведомственный характер проблемы.</w:t>
      </w:r>
    </w:p>
    <w:p w:rsidR="00921FC5" w:rsidRPr="003124A6" w:rsidRDefault="005B62E1" w:rsidP="00B10E48">
      <w:pPr>
        <w:ind w:firstLine="851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профилактического характера, снижающих количество дорожно-транспортных происшествий с пострадавшими и количество лиц, погибших в результате дорожно-транспортных происшествий.</w:t>
      </w:r>
    </w:p>
    <w:p w:rsidR="00921FC5" w:rsidRPr="003124A6" w:rsidRDefault="00921FC5" w:rsidP="00B10E48">
      <w:pPr>
        <w:ind w:firstLine="851"/>
        <w:jc w:val="both"/>
        <w:rPr>
          <w:sz w:val="28"/>
          <w:szCs w:val="28"/>
        </w:rPr>
      </w:pPr>
    </w:p>
    <w:p w:rsidR="00921FC5" w:rsidRPr="003124A6" w:rsidRDefault="005B62E1" w:rsidP="00B10E48">
      <w:pPr>
        <w:jc w:val="center"/>
      </w:pPr>
      <w:r w:rsidRPr="003124A6">
        <w:rPr>
          <w:b/>
          <w:bCs/>
          <w:sz w:val="28"/>
          <w:szCs w:val="28"/>
        </w:rPr>
        <w:t xml:space="preserve">2. Цели, задачи и целевые показатели достижения целей и решения задач, сроки и этапы реализации </w:t>
      </w:r>
      <w:r w:rsidRPr="003124A6">
        <w:rPr>
          <w:b/>
          <w:sz w:val="28"/>
          <w:szCs w:val="28"/>
        </w:rPr>
        <w:t>подпрограммы</w:t>
      </w:r>
    </w:p>
    <w:p w:rsidR="00921FC5" w:rsidRPr="003124A6" w:rsidRDefault="00921FC5" w:rsidP="00B10E48">
      <w:pPr>
        <w:jc w:val="center"/>
        <w:rPr>
          <w:sz w:val="28"/>
          <w:szCs w:val="28"/>
        </w:rPr>
      </w:pP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Основной целью подпрограммы является:</w:t>
      </w:r>
    </w:p>
    <w:p w:rsidR="00921FC5" w:rsidRPr="003124A6" w:rsidRDefault="005B62E1" w:rsidP="00B10E48">
      <w:pPr>
        <w:ind w:firstLine="902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сокращение количества лиц, погибших в результате дорожно-транспортных происшествий и на 10 процентов количества дорожно-транспортных происшествий с пострадавшими.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Для достижения данной цели требуется решение следующих задач:</w:t>
      </w:r>
    </w:p>
    <w:p w:rsidR="00921FC5" w:rsidRPr="003124A6" w:rsidRDefault="005B62E1" w:rsidP="00B10E48">
      <w:pPr>
        <w:snapToGrid w:val="0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предупреждение опасного поведения участников дорожного движения;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-сокращение детского дорожно-транспортного травматизма;</w:t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</w:r>
    </w:p>
    <w:p w:rsidR="00921FC5" w:rsidRPr="003124A6" w:rsidRDefault="005B62E1" w:rsidP="00B10E48">
      <w:pPr>
        <w:snapToGrid w:val="0"/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-совершенствование организации движения транспорта и пешеходов в станице Кавказской;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пешеходов.</w:t>
      </w:r>
    </w:p>
    <w:p w:rsidR="00921FC5" w:rsidRPr="003124A6" w:rsidRDefault="005B62E1" w:rsidP="00B10E48">
      <w:pPr>
        <w:ind w:firstLine="708"/>
        <w:jc w:val="both"/>
      </w:pPr>
      <w:r w:rsidRPr="003124A6">
        <w:rPr>
          <w:sz w:val="28"/>
          <w:szCs w:val="28"/>
        </w:rPr>
        <w:t>Подпрограмма разработана на период с 2015 по 2022 годы, этапы реализации в подпрограмме не предусмотрены.</w:t>
      </w:r>
    </w:p>
    <w:p w:rsidR="00921FC5" w:rsidRPr="003124A6" w:rsidRDefault="005B62E1" w:rsidP="00B10E48">
      <w:pPr>
        <w:ind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Цели, задачи и целевые показатели подпрограммы приведены в приложении № 1 к подпрограмме.</w:t>
      </w:r>
    </w:p>
    <w:p w:rsidR="00921FC5" w:rsidRPr="003124A6" w:rsidRDefault="00921FC5" w:rsidP="00B10E48">
      <w:pPr>
        <w:ind w:firstLine="708"/>
        <w:jc w:val="both"/>
        <w:rPr>
          <w:sz w:val="28"/>
          <w:szCs w:val="28"/>
        </w:rPr>
      </w:pPr>
    </w:p>
    <w:p w:rsidR="00921FC5" w:rsidRPr="003124A6" w:rsidRDefault="005B62E1" w:rsidP="00B10E48">
      <w:pPr>
        <w:ind w:firstLine="708"/>
        <w:jc w:val="center"/>
        <w:rPr>
          <w:b/>
          <w:sz w:val="28"/>
          <w:szCs w:val="28"/>
        </w:rPr>
      </w:pPr>
      <w:r w:rsidRPr="003124A6">
        <w:rPr>
          <w:b/>
          <w:bCs/>
          <w:sz w:val="28"/>
          <w:szCs w:val="28"/>
        </w:rPr>
        <w:t xml:space="preserve">3. Перечень мероприятий </w:t>
      </w:r>
      <w:r w:rsidRPr="003124A6">
        <w:rPr>
          <w:b/>
          <w:sz w:val="28"/>
          <w:szCs w:val="28"/>
        </w:rPr>
        <w:t>подпрограммы</w:t>
      </w:r>
    </w:p>
    <w:p w:rsidR="00921FC5" w:rsidRPr="003124A6" w:rsidRDefault="00921FC5" w:rsidP="00B10E48">
      <w:pPr>
        <w:ind w:firstLine="708"/>
        <w:jc w:val="center"/>
        <w:rPr>
          <w:sz w:val="28"/>
          <w:szCs w:val="28"/>
        </w:rPr>
      </w:pPr>
    </w:p>
    <w:p w:rsidR="00921FC5" w:rsidRPr="003124A6" w:rsidRDefault="005B62E1" w:rsidP="00B10E48">
      <w:pPr>
        <w:ind w:left="56" w:firstLine="708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Перечень мероприятий подпрограммы приведен в приложении № 2 к подпрограмме.</w:t>
      </w:r>
    </w:p>
    <w:p w:rsidR="00921FC5" w:rsidRPr="003124A6" w:rsidRDefault="00921FC5" w:rsidP="00B10E48">
      <w:pPr>
        <w:ind w:left="56" w:firstLine="708"/>
        <w:jc w:val="both"/>
        <w:rPr>
          <w:sz w:val="28"/>
          <w:szCs w:val="28"/>
        </w:rPr>
      </w:pPr>
    </w:p>
    <w:p w:rsidR="00921FC5" w:rsidRPr="003124A6" w:rsidRDefault="005B62E1" w:rsidP="00B10E48">
      <w:pPr>
        <w:pStyle w:val="11"/>
        <w:suppressAutoHyphens/>
      </w:pPr>
      <w:r w:rsidRPr="003124A6">
        <w:rPr>
          <w:rFonts w:ascii="Times New Roman" w:hAnsi="Times New Roman" w:cs="Times New Roman"/>
          <w:color w:val="000000"/>
          <w:sz w:val="28"/>
          <w:szCs w:val="28"/>
        </w:rPr>
        <w:t>4. Обоснование ресурсного обеспечения</w:t>
      </w:r>
      <w:r w:rsidRPr="003124A6">
        <w:rPr>
          <w:rFonts w:ascii="Times New Roman" w:hAnsi="Times New Roman" w:cs="Times New Roman"/>
          <w:color w:val="00000A"/>
          <w:sz w:val="28"/>
          <w:szCs w:val="28"/>
        </w:rPr>
        <w:t xml:space="preserve"> подпрограммы</w:t>
      </w:r>
    </w:p>
    <w:p w:rsidR="00921FC5" w:rsidRPr="003124A6" w:rsidRDefault="00921FC5" w:rsidP="00B10E48">
      <w:pPr>
        <w:pStyle w:val="11"/>
        <w:suppressAutoHyphens/>
      </w:pPr>
    </w:p>
    <w:p w:rsidR="00921FC5" w:rsidRPr="003124A6" w:rsidRDefault="005B62E1" w:rsidP="00B10E48">
      <w:pPr>
        <w:spacing w:line="100" w:lineRule="atLeast"/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>Общая потребность в финансовых ресурсах для реализации программных мероприятий  распределяется по источникам финансирования следующим образом:</w:t>
      </w: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321FF9" w:rsidRPr="003124A6" w:rsidRDefault="00321FF9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p w:rsidR="00921FC5" w:rsidRPr="003124A6" w:rsidRDefault="00921FC5" w:rsidP="00B10E48">
      <w:pPr>
        <w:spacing w:line="100" w:lineRule="atLeast"/>
        <w:ind w:firstLine="709"/>
        <w:jc w:val="both"/>
        <w:rPr>
          <w:sz w:val="28"/>
          <w:szCs w:val="28"/>
        </w:rPr>
      </w:pPr>
    </w:p>
    <w:tbl>
      <w:tblPr>
        <w:tblW w:w="10150" w:type="dxa"/>
        <w:tblInd w:w="-931" w:type="dxa"/>
        <w:tblLayout w:type="fixed"/>
        <w:tblCellMar>
          <w:top w:w="55" w:type="dxa"/>
          <w:left w:w="5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270"/>
        <w:gridCol w:w="1275"/>
        <w:gridCol w:w="975"/>
        <w:gridCol w:w="1110"/>
        <w:gridCol w:w="708"/>
        <w:gridCol w:w="851"/>
        <w:gridCol w:w="709"/>
        <w:gridCol w:w="708"/>
        <w:gridCol w:w="851"/>
        <w:gridCol w:w="992"/>
        <w:gridCol w:w="851"/>
        <w:gridCol w:w="850"/>
      </w:tblGrid>
      <w:tr w:rsidR="00921FC5" w:rsidRPr="003124A6" w:rsidTr="00321FF9">
        <w:trPr>
          <w:cantSplit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lastRenderedPageBreak/>
              <w:t>№</w:t>
            </w:r>
          </w:p>
          <w:p w:rsidR="00921FC5" w:rsidRPr="003124A6" w:rsidRDefault="005B62E1" w:rsidP="00B10E48">
            <w:pPr>
              <w:pStyle w:val="aa"/>
              <w:widowControl w:val="0"/>
              <w:jc w:val="center"/>
            </w:pPr>
            <w:proofErr w:type="gramStart"/>
            <w:r w:rsidRPr="003124A6">
              <w:rPr>
                <w:sz w:val="22"/>
                <w:szCs w:val="22"/>
              </w:rPr>
              <w:t>п</w:t>
            </w:r>
            <w:proofErr w:type="gramEnd"/>
            <w:r w:rsidRPr="003124A6">
              <w:rPr>
                <w:sz w:val="22"/>
                <w:szCs w:val="22"/>
              </w:rPr>
              <w:t>/п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1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sz w:val="20"/>
                <w:szCs w:val="20"/>
              </w:rPr>
            </w:pPr>
            <w:r w:rsidRPr="003124A6">
              <w:rPr>
                <w:sz w:val="20"/>
                <w:szCs w:val="20"/>
              </w:rPr>
              <w:t xml:space="preserve">Общий объем финансирования </w:t>
            </w:r>
            <w:r w:rsidRPr="003124A6">
              <w:rPr>
                <w:sz w:val="18"/>
                <w:szCs w:val="18"/>
              </w:rPr>
              <w:t>(</w:t>
            </w:r>
            <w:proofErr w:type="spellStart"/>
            <w:r w:rsidRPr="003124A6">
              <w:rPr>
                <w:sz w:val="18"/>
                <w:szCs w:val="18"/>
              </w:rPr>
              <w:t>тыс</w:t>
            </w:r>
            <w:proofErr w:type="gramStart"/>
            <w:r w:rsidRPr="003124A6">
              <w:rPr>
                <w:sz w:val="18"/>
                <w:szCs w:val="18"/>
              </w:rPr>
              <w:t>.р</w:t>
            </w:r>
            <w:proofErr w:type="gramEnd"/>
            <w:r w:rsidRPr="003124A6">
              <w:rPr>
                <w:sz w:val="18"/>
                <w:szCs w:val="18"/>
              </w:rPr>
              <w:t>уб</w:t>
            </w:r>
            <w:proofErr w:type="spellEnd"/>
            <w:r w:rsidRPr="003124A6">
              <w:rPr>
                <w:sz w:val="18"/>
                <w:szCs w:val="18"/>
              </w:rPr>
              <w:t>.)</w:t>
            </w:r>
          </w:p>
        </w:tc>
        <w:tc>
          <w:tcPr>
            <w:tcW w:w="652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В том числе по годам (тыс. руб.):</w:t>
            </w:r>
          </w:p>
        </w:tc>
      </w:tr>
      <w:tr w:rsidR="00921FC5" w:rsidRPr="003124A6" w:rsidTr="00321FF9">
        <w:trPr>
          <w:cantSplit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9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111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 xml:space="preserve">2015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 xml:space="preserve">2016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2017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2018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2019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E645CC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>202</w:t>
            </w:r>
            <w:r w:rsidR="009D37A4" w:rsidRPr="003124A6">
              <w:rPr>
                <w:sz w:val="22"/>
                <w:szCs w:val="22"/>
              </w:rPr>
              <w:t>0</w:t>
            </w:r>
          </w:p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2021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ind w:right="2"/>
              <w:jc w:val="center"/>
            </w:pPr>
            <w:r w:rsidRPr="003124A6">
              <w:rPr>
                <w:sz w:val="22"/>
                <w:szCs w:val="22"/>
              </w:rPr>
              <w:t xml:space="preserve">2022 </w:t>
            </w:r>
            <w:r w:rsidRPr="003124A6">
              <w:rPr>
                <w:rStyle w:val="7"/>
                <w:sz w:val="22"/>
                <w:szCs w:val="22"/>
              </w:rPr>
              <w:t>год</w:t>
            </w:r>
          </w:p>
        </w:tc>
      </w:tr>
      <w:tr w:rsidR="00921FC5" w:rsidRPr="003124A6" w:rsidTr="00321FF9">
        <w:trPr>
          <w:cantSplit/>
          <w:trHeight w:val="690"/>
        </w:trPr>
        <w:tc>
          <w:tcPr>
            <w:tcW w:w="27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widowControl w:val="0"/>
              <w:snapToGrid w:val="0"/>
              <w:ind w:right="18"/>
              <w:jc w:val="center"/>
            </w:pPr>
            <w:r w:rsidRPr="003124A6">
              <w:rPr>
                <w:sz w:val="22"/>
                <w:szCs w:val="22"/>
              </w:rPr>
              <w:t>«Капитальный ремонт и ремонт автомобильных дорог местного значения Кавказского сельского поселения Кавказского района на 2015-2022 годы»</w:t>
            </w: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sz w:val="22"/>
                <w:szCs w:val="22"/>
                <w:shd w:val="clear" w:color="auto" w:fill="FFFFFF"/>
              </w:rPr>
              <w:t>34914,6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3062,5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3977,6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3939,7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4073,4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3800,0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sz w:val="22"/>
                <w:szCs w:val="22"/>
                <w:shd w:val="clear" w:color="auto" w:fill="FFFFFF"/>
              </w:rPr>
              <w:t>4887,5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5530,5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5643,4</w:t>
            </w:r>
          </w:p>
        </w:tc>
      </w:tr>
      <w:tr w:rsidR="00921FC5" w:rsidRPr="003124A6" w:rsidTr="00321FF9">
        <w:trPr>
          <w:cantSplit/>
          <w:trHeight w:val="372"/>
        </w:trPr>
        <w:tc>
          <w:tcPr>
            <w:tcW w:w="27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127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921FC5" w:rsidP="00B10E48">
            <w:pPr>
              <w:widowControl w:val="0"/>
            </w:pPr>
          </w:p>
        </w:tc>
        <w:tc>
          <w:tcPr>
            <w:tcW w:w="9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20439,8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3985,4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7967,2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7487,2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sz w:val="22"/>
                <w:szCs w:val="22"/>
              </w:rPr>
              <w:t>0,0</w:t>
            </w:r>
          </w:p>
        </w:tc>
      </w:tr>
      <w:tr w:rsidR="00921FC5" w:rsidRPr="003124A6" w:rsidTr="00321FF9">
        <w:trPr>
          <w:trHeight w:val="372"/>
        </w:trPr>
        <w:tc>
          <w:tcPr>
            <w:tcW w:w="252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bCs/>
                <w:sz w:val="22"/>
                <w:szCs w:val="22"/>
              </w:rPr>
              <w:t>Всего по подпрограмме: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b/>
                <w:bCs/>
                <w:sz w:val="22"/>
                <w:szCs w:val="22"/>
                <w:shd w:val="clear" w:color="auto" w:fill="FFFFFF"/>
              </w:rPr>
              <w:t>55354,4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3124A6">
              <w:rPr>
                <w:b/>
                <w:bCs/>
                <w:sz w:val="22"/>
                <w:szCs w:val="22"/>
              </w:rPr>
              <w:t>4062,5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  <w:bCs/>
              </w:rPr>
            </w:pPr>
            <w:r w:rsidRPr="003124A6">
              <w:rPr>
                <w:b/>
                <w:bCs/>
                <w:sz w:val="22"/>
                <w:szCs w:val="22"/>
              </w:rPr>
              <w:t>3977,6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3124A6">
              <w:rPr>
                <w:b/>
                <w:sz w:val="22"/>
                <w:szCs w:val="22"/>
              </w:rPr>
              <w:t>3939,7</w:t>
            </w:r>
          </w:p>
        </w:tc>
        <w:tc>
          <w:tcPr>
            <w:tcW w:w="7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b/>
                <w:sz w:val="22"/>
                <w:szCs w:val="22"/>
              </w:rPr>
              <w:t>4073,4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</w:pPr>
            <w:r w:rsidRPr="003124A6">
              <w:rPr>
                <w:b/>
                <w:sz w:val="22"/>
                <w:szCs w:val="22"/>
              </w:rPr>
              <w:t>7785,4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0" w:type="dxa"/>
            </w:tcMar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shd w:val="clear" w:color="auto" w:fill="FFFFFF"/>
              </w:rPr>
            </w:pPr>
            <w:r w:rsidRPr="003124A6">
              <w:rPr>
                <w:b/>
                <w:sz w:val="22"/>
                <w:szCs w:val="22"/>
                <w:shd w:val="clear" w:color="auto" w:fill="FFFFFF"/>
              </w:rPr>
              <w:t>12854,7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5B62E1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3124A6">
              <w:rPr>
                <w:b/>
                <w:sz w:val="22"/>
                <w:szCs w:val="22"/>
              </w:rPr>
              <w:t>13017,7</w:t>
            </w:r>
          </w:p>
        </w:tc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21FC5" w:rsidRPr="003124A6" w:rsidRDefault="00321FF9" w:rsidP="00B10E48">
            <w:pPr>
              <w:pStyle w:val="aa"/>
              <w:widowControl w:val="0"/>
              <w:snapToGrid w:val="0"/>
              <w:jc w:val="center"/>
              <w:rPr>
                <w:b/>
              </w:rPr>
            </w:pPr>
            <w:r w:rsidRPr="003124A6">
              <w:rPr>
                <w:b/>
                <w:sz w:val="22"/>
                <w:szCs w:val="22"/>
              </w:rPr>
              <w:t>5643,4</w:t>
            </w:r>
          </w:p>
        </w:tc>
      </w:tr>
    </w:tbl>
    <w:p w:rsidR="00921FC5" w:rsidRPr="003124A6" w:rsidRDefault="005B62E1" w:rsidP="00B10E48">
      <w:pPr>
        <w:jc w:val="both"/>
        <w:rPr>
          <w:sz w:val="28"/>
          <w:szCs w:val="28"/>
        </w:rPr>
      </w:pPr>
      <w:r w:rsidRPr="003124A6">
        <w:rPr>
          <w:sz w:val="28"/>
          <w:szCs w:val="28"/>
        </w:rPr>
        <w:tab/>
      </w:r>
    </w:p>
    <w:p w:rsidR="00921FC5" w:rsidRPr="003124A6" w:rsidRDefault="005B62E1" w:rsidP="00B10E48">
      <w:pPr>
        <w:ind w:firstLine="709"/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 Обоснованием цены мероприятий, указанных в данной подпрограмме является сметная документация.</w:t>
      </w:r>
    </w:p>
    <w:p w:rsidR="00921FC5" w:rsidRPr="003124A6" w:rsidRDefault="005B62E1" w:rsidP="00B10E48">
      <w:pPr>
        <w:tabs>
          <w:tab w:val="left" w:pos="851"/>
        </w:tabs>
        <w:jc w:val="both"/>
        <w:rPr>
          <w:b/>
          <w:bCs/>
          <w:sz w:val="28"/>
          <w:szCs w:val="28"/>
        </w:rPr>
      </w:pPr>
      <w:bookmarkStart w:id="0" w:name="sub_7005"/>
      <w:bookmarkEnd w:id="0"/>
      <w:r w:rsidRPr="003124A6">
        <w:rPr>
          <w:rFonts w:eastAsia="Lucida Sans Unicode"/>
          <w:sz w:val="28"/>
          <w:szCs w:val="28"/>
        </w:rPr>
        <w:tab/>
        <w:t>В ходе реализации подпрограммы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921FC5" w:rsidRPr="003124A6" w:rsidRDefault="00921FC5" w:rsidP="00B10E48">
      <w:pPr>
        <w:pStyle w:val="a6"/>
        <w:spacing w:after="0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pStyle w:val="a6"/>
        <w:spacing w:after="0"/>
        <w:ind w:firstLine="35"/>
        <w:jc w:val="center"/>
      </w:pPr>
      <w:r w:rsidRPr="003124A6">
        <w:rPr>
          <w:b/>
          <w:bCs/>
          <w:sz w:val="28"/>
          <w:szCs w:val="28"/>
          <w:shd w:val="clear" w:color="auto" w:fill="FFFFFF"/>
        </w:rPr>
        <w:t xml:space="preserve">5.Механизм реализации подпрограммы </w:t>
      </w:r>
    </w:p>
    <w:p w:rsidR="00921FC5" w:rsidRPr="003124A6" w:rsidRDefault="00921FC5" w:rsidP="00B10E48">
      <w:pPr>
        <w:pStyle w:val="a6"/>
        <w:ind w:firstLine="35"/>
        <w:jc w:val="center"/>
        <w:rPr>
          <w:bCs/>
          <w:sz w:val="28"/>
          <w:szCs w:val="28"/>
        </w:rPr>
      </w:pP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1.1. Текущее управление муниципальной 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принимает решение о необходимости внесения в установленном порядке изменений в муниципальную программу;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несет ответственность за достижение целевых показателей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осуществляет подготовку </w:t>
      </w:r>
      <w:proofErr w:type="gram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предложен</w:t>
      </w:r>
      <w:proofErr w:type="gramEnd"/>
      <w:r w:rsidR="00CC23E1"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</w:t>
      </w:r>
      <w:proofErr w:type="spell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ий</w:t>
      </w:r>
      <w:proofErr w:type="spellEnd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контроля за</w:t>
      </w:r>
      <w:proofErr w:type="gramEnd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муниципальной программы, устанавливает сроки их предоставления;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ежегодно проводит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Кавказского сельского поселения Кавказского района в информационно-телекоммуникационной сети «Интернет» (далее – сайт);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размещает информацию о ходе реализации и достигнутых результатах муниципальной программы на сайте;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1" w:name="sub_420"/>
      <w:bookmarkEnd w:id="1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1.2. Текущее управление подпрограммой осуществляет ее координатор, который: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обеспечивает разработку и реализацию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организует работу по достижению целевых показателей подпрограммы;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2" w:name="sub_43"/>
      <w:bookmarkEnd w:id="2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осуществляет иные полномочия, установленные муниципальной программой (подпрограммой).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3" w:name="sub_44"/>
      <w:bookmarkEnd w:id="3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1.3. Координатор муниципальной программы ежегодно, не позднее          31 декабря текущего финансового года, утверждает согласованный с координаторами подпрограмм, участниками муниципальной программы план реализации муниципальной программы на очередной год (далее - план реализации муниципальной программы) по форме согласно приложению № 11 к настоящему Порядку.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План реализации муниципальной программы составляется в разрезе основных мероприятий, мероприятий подпрограмм и ведомственных целевых программ, планируемых к реализации в очередном году, а также значимых контрольных событий реализации муниципальной программы (далее – контрольные события), оказывающих существенное влияние на сроки и результаты ее реализации в очередном году.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>Основными характеристиками контрольных событий муниципальной программы являются общественная, в том числе социально-экономическая, значимость (важность) для достижения результата подпрограммы, основного мероприятия, ведомственной целевой программы, нулевая длительность, возможность однозначной оценки достижения (0% или 100%), документальное подтверждение результата.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обязательном порядке контрольные события выделяются по основным мероприятиям, мероприятиям подпрограмм и ведомственным целевым программам, в составе которых предусмотрена реализация муниципальных функций по разработке и реализации государственной политики в соответствующей сфере реализации муниципальной программы, осуществлению муниципального контроля и надзора, управлению муниципальным имуществом.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Контрольные события определяются в зависимости от содержания основных мероприятий, мероприятий подпрограмм и ведомственных целевых программ, по которым они выделяются. 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Для основных мероприятий, мероприятий подпрограмм и ведомственных целевых программ: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внедрение новых технологий, внедрение новых управленческих механизмов в сфере реализации муниципальной программы, реализацию инвестиционных проектов, в качестве контрольных событий при необходимости следует использовать характеристику конечного результата (или промежуточного результата) реализации соответствующего мероприятия (значимый промежуточный (ожидаемый) результат) реализации мероприятий);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направленных на обеспечение реализации муниципальных функций (предоставление муниципальных услуг), в качестве контрольных событий при необходимости следует использовать достижение заданных показателей объема и (или) качества исполнения муниципальных функций (предоставления муниципальных услуг);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- предусматривающих реализацию функций по осуществлению муниципального контроля (надзора), следует использовать контрольные события, отражающие качество, сроки, результативность осуществления контрольных (надзорных) мероприятий.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плане реализации муниципальной программы при необходимости следует обеспечивать равномерное распределение контрольных событий в течение года.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4" w:name="sub_45"/>
      <w:bookmarkEnd w:id="4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1.4. В процессе реализации муниципальной программы ее координатор по согласованию с координаторами подпрограмм и (или) участниками муниципальной программы может принимать решения о внесении изменений в план реализации муниципальной программы. Изменения в план реализации муниципальной программы при необходимости следует вносить не чаще 1 раза в квартал.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5" w:name="sub_46"/>
      <w:bookmarkEnd w:id="5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1.5. Координатор муниципальной программы осуществляет </w:t>
      </w:r>
      <w:proofErr w:type="gram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контроль за</w:t>
      </w:r>
      <w:proofErr w:type="gramEnd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 выполнением плана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6" w:name="sub_48"/>
      <w:bookmarkEnd w:id="6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ab/>
        <w:t xml:space="preserve">1.6. </w:t>
      </w:r>
      <w:proofErr w:type="gramStart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В целях обеспечения контроля за выполнением муниципальной программы ее координатор представляет план реализации муниципальной программы (изменения в план реализации муниципальной программы) главе Кавказского сельского поселения Кавказского района и обеспечивает его размещение на официальном сайте в информационно-телекоммуникационной сети «Интернет» не позднее 5 рабочих дней после его утверждения (утверждения изменений в план реализации муниципальной программы).</w:t>
      </w:r>
      <w:proofErr w:type="gramEnd"/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7" w:name="sub_49"/>
      <w:bookmarkEnd w:id="7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 xml:space="preserve">1.7. Мониторинг реализации муниципальной программы осуществляется по отчетным формам, утверждаемым постановлением администрации Кавказского сельского поселения Кавказского района.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bookmarkStart w:id="8" w:name="sub_4100"/>
      <w:bookmarkEnd w:id="8"/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1.8. Координатор муниципальной программы ежеквартально, до 20-го числа месяца, следующего за отчетным кварталом, представляет главе Кавказского сельского поселения Кавказского района заполненные отчетные формы мониторинга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1.9. Координатор муниципальной программы ежегодно, до 15 февраля года, следующего за отчетным годом, направляет главе Кавказского сельского поселения Кавказского района доклад о ходе реализации муниципальной программы на бумажных и электронных носителях.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Доклад о ходе реализации муниципальной программы должен содержать: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конкретные результаты, достигнутые за отчетный период;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фактических объемах финансирования муниципальной программы в целом и по каждому мероприятию подпрограмм, ведомственных целевых программ, включенных в муниципальную программу, и основных мероприятий в разрезе источников финансирования и главных распорядителей (распорядителей) средств местного бюджета;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фактическом выполнении мероприятий подпрограмм, ведомственных целевых программ, включенных в муниципальную программу, и основных мероприятий с указанием причин их невыполнения или неполного выполнения;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сведения о соответствии фактически достигнутых целевых показателей реализации муниципальной программы и входящих в ее состав подпрограмм, ведомственных целевых программ и основных мероприятий плановым показателям, установленным муниципальной программой;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оценку эффективности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>- анализ факторов, повлиявших на ход реализации муниципальной программы;</w:t>
      </w:r>
    </w:p>
    <w:p w:rsidR="00921FC5" w:rsidRPr="003124A6" w:rsidRDefault="005B62E1" w:rsidP="00B10E48">
      <w:pPr>
        <w:ind w:firstLine="708"/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 xml:space="preserve">- предложения по дальнейшей реализации муниципальной программы, в том числе по оптимизации расходов краевого бюджета на реализацию </w:t>
      </w: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lastRenderedPageBreak/>
        <w:t xml:space="preserve">основных мероприятий муниципальной программы, мероприятий подпрограмм, мероприятий ведомственных целевых программ и корректировке целевых показателей муниципальной программы на текущий финансовый год и плановый период. 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 докладу о ходе реализации муниципальной программы прилагаются отчеты об исполнении целевых показателей муниципальной программы и входящих в ее состав подпрограмм, ведомственных целевых программ и основных мероприятий,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 (при наличии).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В случае расхождений между плановыми и фактическими значениями объемов финансирования и целевых показателей координатором муниципальной программы проводится анализ факторов, и указываются в докладе о ходе реализации муниципальной программы причины, повлиявшие на такие расхождения.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По муниципальной программе, срок реализации которой завершился в отчетном году, координатор муниципальной программы представляет главе Кавказского сельского поселения Кавказского района доклад о результатах ее выполнения, включая оценку эффективности реализации муниципальной программы за истекший год и весь период реализации муниципальной программы.</w:t>
      </w:r>
    </w:p>
    <w:p w:rsidR="00921FC5" w:rsidRPr="003124A6" w:rsidRDefault="005B62E1" w:rsidP="00B10E48">
      <w:pPr>
        <w:jc w:val="both"/>
        <w:rPr>
          <w:rFonts w:eastAsia="Arial Unicode MS" w:cs="Tahoma"/>
          <w:color w:val="000000"/>
          <w:sz w:val="28"/>
          <w:szCs w:val="28"/>
          <w:lang w:bidi="en-US"/>
        </w:rPr>
      </w:pPr>
      <w:r w:rsidRPr="003124A6">
        <w:rPr>
          <w:rFonts w:eastAsia="Arial Unicode MS" w:cs="Tahoma"/>
          <w:color w:val="000000"/>
          <w:sz w:val="28"/>
          <w:szCs w:val="28"/>
          <w:shd w:val="clear" w:color="auto" w:fill="FFFFFF"/>
          <w:lang w:bidi="en-US"/>
        </w:rPr>
        <w:tab/>
        <w:t>Координатор муниципальной программы обеспечивает достоверность данных, представляемых в рамках мониторинга реализации муниципальной программы.</w:t>
      </w:r>
    </w:p>
    <w:p w:rsidR="00921FC5" w:rsidRPr="003124A6" w:rsidRDefault="00921FC5" w:rsidP="00B10E48">
      <w:pPr>
        <w:ind w:firstLine="902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921FC5" w:rsidP="00B10E48">
      <w:pPr>
        <w:ind w:firstLine="900"/>
        <w:jc w:val="both"/>
        <w:rPr>
          <w:color w:val="FF0000"/>
          <w:sz w:val="28"/>
          <w:szCs w:val="28"/>
        </w:rPr>
      </w:pPr>
    </w:p>
    <w:p w:rsidR="00921FC5" w:rsidRPr="003124A6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>Глава Кавказского сельского поселения</w:t>
      </w:r>
      <w:r w:rsidRPr="003124A6">
        <w:rPr>
          <w:sz w:val="28"/>
          <w:szCs w:val="28"/>
        </w:rPr>
        <w:tab/>
      </w:r>
    </w:p>
    <w:p w:rsidR="00921FC5" w:rsidRDefault="005B62E1" w:rsidP="00B10E48">
      <w:pPr>
        <w:tabs>
          <w:tab w:val="left" w:pos="1418"/>
        </w:tabs>
        <w:jc w:val="both"/>
        <w:rPr>
          <w:sz w:val="28"/>
          <w:szCs w:val="28"/>
        </w:rPr>
      </w:pPr>
      <w:r w:rsidRPr="003124A6">
        <w:rPr>
          <w:sz w:val="28"/>
          <w:szCs w:val="28"/>
        </w:rPr>
        <w:t xml:space="preserve">Кавказского района                                                                          </w:t>
      </w:r>
      <w:proofErr w:type="spellStart"/>
      <w:r w:rsidRPr="003124A6">
        <w:rPr>
          <w:sz w:val="28"/>
          <w:szCs w:val="28"/>
        </w:rPr>
        <w:t>О.Г.Мясищева</w:t>
      </w:r>
      <w:bookmarkStart w:id="9" w:name="_GoBack"/>
      <w:bookmarkEnd w:id="9"/>
      <w:proofErr w:type="spellEnd"/>
    </w:p>
    <w:p w:rsidR="00921FC5" w:rsidRDefault="00921FC5" w:rsidP="00B10E48"/>
    <w:sectPr w:rsidR="00921FC5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921FC5"/>
    <w:rsid w:val="003124A6"/>
    <w:rsid w:val="00321FF9"/>
    <w:rsid w:val="003B7559"/>
    <w:rsid w:val="005238A0"/>
    <w:rsid w:val="005B62E1"/>
    <w:rsid w:val="00921FC5"/>
    <w:rsid w:val="009D37A4"/>
    <w:rsid w:val="00B10E48"/>
    <w:rsid w:val="00CC23E1"/>
    <w:rsid w:val="00E64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шрифт абзаца7"/>
    <w:qFormat/>
    <w:rsid w:val="006E7943"/>
  </w:style>
  <w:style w:type="character" w:customStyle="1" w:styleId="a3">
    <w:name w:val="Основной текст Знак"/>
    <w:basedOn w:val="a0"/>
    <w:qFormat/>
    <w:rsid w:val="006E7943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uiPriority w:val="99"/>
    <w:semiHidden/>
    <w:qFormat/>
    <w:rsid w:val="00F86D1D"/>
    <w:rPr>
      <w:rFonts w:ascii="Tahoma" w:eastAsia="Times New Roman" w:hAnsi="Tahoma" w:cs="Tahoma"/>
      <w:color w:val="00000A"/>
      <w:sz w:val="16"/>
      <w:szCs w:val="16"/>
      <w:lang w:eastAsia="zh-CN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6E7943"/>
    <w:pPr>
      <w:spacing w:after="120"/>
    </w:pPr>
  </w:style>
  <w:style w:type="paragraph" w:styleId="a7">
    <w:name w:val="List"/>
    <w:basedOn w:val="a6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1">
    <w:name w:val="Заголовок 11"/>
    <w:basedOn w:val="a"/>
    <w:qFormat/>
    <w:rsid w:val="006E7943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aa">
    <w:name w:val="Содержимое таблицы"/>
    <w:basedOn w:val="a"/>
    <w:qFormat/>
    <w:rsid w:val="006E7943"/>
    <w:pPr>
      <w:suppressLineNumbers/>
    </w:pPr>
  </w:style>
  <w:style w:type="paragraph" w:styleId="ab">
    <w:name w:val="Balloon Text"/>
    <w:basedOn w:val="a"/>
    <w:uiPriority w:val="99"/>
    <w:semiHidden/>
    <w:unhideWhenUsed/>
    <w:qFormat/>
    <w:rsid w:val="00F86D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2778</Words>
  <Characters>15839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Админстрация Кавказского сельского поселения</Company>
  <LinksUpToDate>false</LinksUpToDate>
  <CharactersWithSpaces>18580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Короленко Е А</dc:creator>
  <dc:description/>
  <cp:lastModifiedBy>Кравченко</cp:lastModifiedBy>
  <cp:revision>28</cp:revision>
  <cp:lastPrinted>2022-05-30T08:06:00Z</cp:lastPrinted>
  <dcterms:created xsi:type="dcterms:W3CDTF">2020-06-02T05:58:00Z</dcterms:created>
  <dcterms:modified xsi:type="dcterms:W3CDTF">2022-05-30T08:07:00Z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