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4"/>
        <w:gridCol w:w="1021"/>
        <w:gridCol w:w="110"/>
        <w:gridCol w:w="1217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 xml:space="preserve">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19,5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39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19,5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39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353,9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353,9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757,9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757,9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757,9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373,4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49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24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2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gutter="0" w:header="0" w:top="170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Application>LibreOffice/7.5.5.2$Windows_X86_64 LibreOffice_project/ca8fe7424262805f223b9a2334bc7181abbcbf5e</Application>
  <AppVersion>15.0000</AppVersion>
  <Pages>4</Pages>
  <Words>375</Words>
  <Characters>2544</Characters>
  <CharactersWithSpaces>3169</CharactersWithSpaces>
  <Paragraphs>134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2024-09-12T14:13:30Z</cp:lastPrinted>
  <dcterms:modified xsi:type="dcterms:W3CDTF">2024-09-12T14:14:21Z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