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Calibri" w:cs="Times New Roman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    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Доклад по оценке эффективности муниципальной программы</w:t>
      </w:r>
      <w:r/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firstLine="709"/>
        <w:jc w:val="center"/>
        <w:outlineLvl w:val="2"/>
        <w:rPr>
          <w:sz w:val="28"/>
          <w:b/>
          <w:sz w:val="28"/>
          <w:b/>
          <w:szCs w:val="26"/>
          <w:bCs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</w:rPr>
        <w:t>«</w:t>
      </w:r>
      <w:r>
        <w:rPr>
          <w:rFonts w:eastAsia="Calibri" w:cs="Times New Roman" w:ascii="Times New Roman" w:hAnsi="Times New Roman"/>
          <w:b/>
          <w:sz w:val="28"/>
          <w:szCs w:val="28"/>
        </w:rPr>
        <w:t>Развитие топливно-энергетического комплекса</w:t>
      </w:r>
      <w:r>
        <w:rPr>
          <w:rFonts w:cs="Times New Roman" w:ascii="Times New Roman" w:hAnsi="Times New Roman"/>
          <w:b/>
          <w:sz w:val="28"/>
          <w:szCs w:val="28"/>
        </w:rPr>
        <w:t>»</w:t>
      </w:r>
      <w:r/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firstLine="709"/>
        <w:jc w:val="center"/>
        <w:outlineLvl w:val="2"/>
        <w:rPr>
          <w:sz w:val="28"/>
          <w:b/>
          <w:sz w:val="28"/>
          <w:b/>
          <w:szCs w:val="28"/>
          <w:rFonts w:ascii="Times New Roman" w:hAnsi="Times New Roman" w:eastAsia="Calibri" w:cs="Times New Roman"/>
          <w:color w:val="00000A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</w:r>
      <w:r/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firstLine="709"/>
        <w:jc w:val="center"/>
        <w:outlineLvl w:val="2"/>
        <w:rPr>
          <w:sz w:val="28"/>
          <w:b/>
          <w:sz w:val="28"/>
          <w:b/>
          <w:szCs w:val="28"/>
          <w:rFonts w:ascii="Times New Roman" w:hAnsi="Times New Roman" w:eastAsia="Calibri" w:cs="Times New Roman"/>
          <w:color w:val="00000A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</w:r>
      <w:r/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firstLine="709"/>
        <w:jc w:val="center"/>
        <w:outlineLvl w:val="2"/>
        <w:rPr>
          <w:sz w:val="28"/>
          <w:b/>
          <w:sz w:val="28"/>
          <w:b/>
          <w:szCs w:val="28"/>
          <w:rFonts w:ascii="Times New Roman" w:hAnsi="Times New Roman" w:eastAsia="Calibri" w:cs="Times New Roman"/>
          <w:color w:val="00000A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</w:r>
      <w:r/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Calibri" w:hAnsi="Calibri" w:eastAsia="Calibri" w:cs="Calibri"/>
          <w:color w:val="00000A"/>
          <w:lang w:eastAsia="ru-RU"/>
        </w:rPr>
      </w:pPr>
      <w:bookmarkStart w:id="0" w:name="__DdeLink__6479_1011257071"/>
      <w:bookmarkEnd w:id="0"/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  <w:r/>
    </w:p>
    <w:p>
      <w:pPr>
        <w:pStyle w:val="Normal"/>
        <w:suppressAutoHyphens w:val="true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ab/>
        <w:t xml:space="preserve">Объем  финансирования на реализацию программы за счет средств местного бюджета  на 2015 год предусмотрен в сумме 8588,4 тыс. рублей,  </w:t>
      </w:r>
      <w:r>
        <w:rPr>
          <w:rFonts w:eastAsia="Calibri" w:cs="Times New Roman" w:ascii="Times New Roman" w:hAnsi="Times New Roman"/>
          <w:sz w:val="28"/>
          <w:szCs w:val="28"/>
        </w:rPr>
        <w:t>за счет</w:t>
      </w:r>
      <w:r>
        <w:rPr>
          <w:rFonts w:cs="Times New Roman" w:ascii="Times New Roman" w:hAnsi="Times New Roman"/>
          <w:sz w:val="28"/>
          <w:szCs w:val="28"/>
        </w:rPr>
        <w:t xml:space="preserve"> средств</w:t>
      </w:r>
      <w:r>
        <w:rPr>
          <w:rFonts w:eastAsia="Calibri" w:cs="Times New Roman" w:ascii="Times New Roman" w:hAnsi="Times New Roman"/>
          <w:sz w:val="28"/>
          <w:szCs w:val="28"/>
        </w:rPr>
        <w:t xml:space="preserve"> краевого бюджета 2589,9 тыс.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рублей, за счет средств внебюджетных источников 725 тыс. рублей,</w:t>
      </w:r>
      <w:r>
        <w:rPr>
          <w:rFonts w:cs="Times New Roman" w:ascii="Times New Roman" w:hAnsi="Times New Roman"/>
          <w:sz w:val="28"/>
          <w:szCs w:val="28"/>
        </w:rPr>
        <w:t xml:space="preserve"> всего финансирование составило 11903,3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тыс. рублей, освоено финансовых средств 11005,9 тыс. рублей. В составе муниципальной программы в 2015 году были приняты две подпрограммы: </w:t>
      </w: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«</w:t>
      </w:r>
      <w:r>
        <w:rPr>
          <w:rFonts w:eastAsia="Calibri" w:cs="Times New Roman" w:ascii="Times New Roman" w:hAnsi="Times New Roman"/>
          <w:sz w:val="28"/>
          <w:szCs w:val="28"/>
        </w:rPr>
        <w:t>Газификация Кавказского сельского поселения Кавказского района  на 2015-2017 годы</w:t>
      </w:r>
      <w:r>
        <w:rPr>
          <w:rFonts w:cs="Times New Roman" w:ascii="Times New Roman" w:hAnsi="Times New Roman"/>
          <w:sz w:val="28"/>
          <w:szCs w:val="28"/>
        </w:rPr>
        <w:t>» и «</w:t>
      </w:r>
      <w:r>
        <w:rPr>
          <w:rFonts w:eastAsia="Calibri" w:cs="Times New Roman" w:ascii="Times New Roman" w:hAnsi="Times New Roman"/>
          <w:sz w:val="28"/>
          <w:szCs w:val="28"/>
        </w:rPr>
        <w:t>Модернизация и развитие муниципальных унитарных предприятий отрасли жилищно-коммунального хозяйства в муниципальном образовании Кавказское сельское поселение на 2015-2017 годы»</w:t>
      </w:r>
      <w:r/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     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Запланированные к реализации в отчетном году 2 из 2 подпрограммы были выполнены в полном объеме,  целевые показатели  программы по подпрограммам, достигнут в полном объеме. </w:t>
      </w:r>
      <w:r/>
    </w:p>
    <w:p>
      <w:pPr>
        <w:pStyle w:val="Normal"/>
        <w:suppressAutoHyphens w:val="true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За 2015 год в рамках реализации подпрограмм муниципальной программы «</w:t>
      </w:r>
      <w:r>
        <w:rPr>
          <w:rFonts w:eastAsia="Calibri" w:cs="Times New Roman" w:ascii="Times New Roman" w:hAnsi="Times New Roman"/>
          <w:sz w:val="28"/>
          <w:szCs w:val="28"/>
        </w:rPr>
        <w:t>Развитие топливно-энергетического комплекса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» на территории Кавказского сельского поселения  было построено и введено в эксплуатацию 2,8 км., сетей газоснабжения, при целевом показателе муниципальной программы 0,8км., так же было отремонтировано 1,35 км., сетей жилищно-коммунального хозяйства при целевом показателе муниципальной программы 0,2км.</w:t>
      </w:r>
      <w:r/>
    </w:p>
    <w:p>
      <w:pPr>
        <w:pStyle w:val="Normal"/>
        <w:spacing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Эффективность реализации подпрограммы может быть признана высокой, коэффициент эффективности реализации программы – </w:t>
      </w:r>
      <w:r>
        <w:rPr>
          <w:rFonts w:cs="Times New Roman" w:ascii="Times New Roman" w:hAnsi="Times New Roman"/>
          <w:b/>
          <w:sz w:val="28"/>
          <w:szCs w:val="28"/>
        </w:rPr>
        <w:t>1,17</w:t>
      </w:r>
      <w:r>
        <w:rPr>
          <w:rFonts w:cs="Times New Roman" w:ascii="Times New Roman" w:hAnsi="Times New Roman"/>
          <w:sz w:val="28"/>
          <w:szCs w:val="28"/>
        </w:rPr>
        <w:t>.</w:t>
      </w:r>
      <w:r/>
    </w:p>
    <w:p>
      <w:pPr>
        <w:pStyle w:val="Normal"/>
        <w:spacing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Расчет эффективности реализации подпрограммы прилагается.</w:t>
      </w:r>
      <w:r/>
    </w:p>
    <w:p>
      <w:pPr>
        <w:pStyle w:val="Normal"/>
        <w:spacing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 Кавказского</w:t>
      </w:r>
      <w:r/>
    </w:p>
    <w:p>
      <w:pPr>
        <w:pStyle w:val="Normal"/>
        <w:spacing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сельского поселения</w:t>
        <w:tab/>
        <w:tab/>
        <w:tab/>
        <w:tab/>
        <w:tab/>
        <w:tab/>
        <w:tab/>
        <w:t>Е.А Короленко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/>
    </w:p>
    <w:p>
      <w:pPr>
        <w:pStyle w:val="Normal"/>
        <w:suppressAutoHyphens w:val="true"/>
        <w:spacing w:lineRule="auto" w:line="240" w:before="0" w:after="0"/>
        <w:jc w:val="both"/>
        <w:rPr>
          <w:sz w:val="28"/>
          <w:sz w:val="28"/>
          <w:szCs w:val="26"/>
          <w:bCs/>
          <w:rFonts w:ascii="Times New Roman" w:hAnsi="Times New Roman" w:eastAsia="Times New Roman" w:cs="Times New Roman"/>
          <w:color w:val="FF0000"/>
          <w:lang w:eastAsia="ru-RU"/>
        </w:rPr>
      </w:pPr>
      <w:r>
        <w:rPr>
          <w:rFonts w:eastAsia="Times New Roman" w:cs="Times New Roman" w:ascii="Times New Roman" w:hAnsi="Times New Roman"/>
          <w:bCs/>
          <w:color w:val="FF0000"/>
          <w:sz w:val="28"/>
          <w:szCs w:val="26"/>
          <w:lang w:eastAsia="ru-RU"/>
        </w:rPr>
      </w:r>
      <w:r/>
    </w:p>
    <w:p>
      <w:pPr>
        <w:pStyle w:val="Normal"/>
        <w:suppressAutoHyphens w:val="true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</w:r>
      <w:r/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sz w:val="28"/>
          <w:b/>
          <w:sz w:val="28"/>
          <w:b/>
          <w:rFonts w:ascii="Times New Roman" w:hAnsi="Times New Roman" w:eastAsia="Calibri" w:cs="Calibri"/>
          <w:color w:val="00000A"/>
          <w:lang w:eastAsia="ru-RU"/>
        </w:rPr>
      </w:pPr>
      <w:bookmarkStart w:id="1" w:name="_GoBack"/>
      <w:bookmarkEnd w:id="1"/>
      <w:r>
        <w:rPr>
          <w:rFonts w:eastAsia="Calibri" w:cs="Calibri" w:ascii="Times New Roman" w:hAnsi="Times New Roman"/>
          <w:b/>
          <w:color w:val="00000A"/>
          <w:sz w:val="28"/>
          <w:lang w:eastAsia="ru-RU"/>
        </w:rPr>
        <w:t>Расчет эффективности реализации  муниципальной программы</w:t>
      </w:r>
      <w:r/>
    </w:p>
    <w:p>
      <w:pPr>
        <w:pStyle w:val="Normal"/>
        <w:suppressAutoHyphens w:val="true"/>
        <w:spacing w:lineRule="auto" w:line="240" w:before="0" w:after="0"/>
        <w:ind w:firstLine="851"/>
        <w:jc w:val="center"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«</w:t>
      </w:r>
      <w:r>
        <w:rPr>
          <w:rFonts w:eastAsia="Calibri" w:cs="Times New Roman" w:ascii="Times New Roman" w:hAnsi="Times New Roman"/>
          <w:b/>
          <w:sz w:val="28"/>
          <w:szCs w:val="28"/>
        </w:rPr>
        <w:t>Развитие топливно-энергетического комплекса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».</w:t>
      </w:r>
      <w:r/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/>
          <w:color w:val="00000A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</w:r>
      <w:r/>
    </w:p>
    <w:p>
      <w:pPr>
        <w:pStyle w:val="Normal"/>
        <w:suppressAutoHyphens w:val="true"/>
        <w:spacing w:lineRule="auto" w:line="240" w:before="0" w:after="0"/>
        <w:ind w:firstLine="851"/>
        <w:jc w:val="both"/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FFFFFF" w:val="clear"/>
          <w:lang w:eastAsia="zh-CN"/>
        </w:rPr>
        <w:t>Оценка степени достижения целей и решения задач муниципальной программы</w:t>
      </w: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  <w:t>:</w:t>
      </w:r>
      <w:r/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 w:eastAsia="Calibri" w:cs="Calibri"/>
          <w:color w:val="000000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</w:r>
      <w:r/>
    </w:p>
    <w:p>
      <w:pPr>
        <w:pStyle w:val="ListParagraph"/>
        <w:numPr>
          <w:ilvl w:val="0"/>
          <w:numId w:val="1"/>
        </w:numPr>
        <w:suppressAutoHyphens w:val="true"/>
        <w:spacing w:lineRule="atLeast" w:line="100" w:before="0" w:after="0"/>
        <w:contextualSpacing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 xml:space="preserve">СДгппз = ЗПгпф / ЗПгпп, 2/1,83 = 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zh-CN"/>
        </w:rPr>
        <w:t>1,09 (1)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 xml:space="preserve"> где,</w:t>
      </w:r>
      <w:r/>
    </w:p>
    <w:p>
      <w:pPr>
        <w:pStyle w:val="Normal"/>
        <w:suppressAutoHyphens w:val="true"/>
        <w:spacing w:lineRule="auto" w:line="240" w:before="0" w:after="0"/>
        <w:jc w:val="both"/>
        <w:rPr>
          <w:sz w:val="28"/>
          <w:sz w:val="28"/>
          <w:rFonts w:ascii="Times New Roman" w:hAnsi="Times New Roman" w:eastAsia="Calibri" w:cs="Calibri"/>
          <w:color w:val="000000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</w:r>
      <w:r/>
    </w:p>
    <w:p>
      <w:pPr>
        <w:pStyle w:val="Normal"/>
        <w:suppressAutoHyphens w:val="true"/>
        <w:spacing w:lineRule="atLeast" w:line="10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СДгппз - степень достижения планового значения целевого показателя, характеризующего цели и задачи муниципальной программы;</w:t>
      </w:r>
      <w:r/>
    </w:p>
    <w:p>
      <w:pPr>
        <w:pStyle w:val="Normal"/>
        <w:suppressAutoHyphens w:val="true"/>
        <w:spacing w:lineRule="atLeast" w:line="10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ЗПГПф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  <w:r/>
    </w:p>
    <w:p>
      <w:pPr>
        <w:pStyle w:val="Normal"/>
        <w:suppressAutoHyphens w:val="true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ЗПГПП - плановое значение целевого показателя, характеризующего цели и задачи муниципальной программы.</w:t>
      </w:r>
      <w:r/>
    </w:p>
    <w:p>
      <w:pPr>
        <w:pStyle w:val="Normal"/>
        <w:suppressAutoHyphens w:val="true"/>
        <w:spacing w:lineRule="auto" w:line="240" w:before="0" w:after="0"/>
        <w:jc w:val="both"/>
        <w:rPr>
          <w:sz w:val="28"/>
          <w:u w:val="single"/>
          <w:sz w:val="28"/>
          <w:rFonts w:ascii="Times New Roman" w:hAnsi="Times New Roman" w:eastAsia="Calibri" w:cs="Calibri"/>
          <w:color w:val="000000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</w:r>
      <w:r/>
    </w:p>
    <w:p>
      <w:pPr>
        <w:pStyle w:val="Normal"/>
        <w:ind w:firstLine="709"/>
        <w:jc w:val="both"/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  <w:t>2.</w:t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FFFFFF" w:val="clear"/>
          <w:lang w:eastAsia="zh-CN"/>
        </w:rPr>
        <w:t xml:space="preserve"> Степень реализации муниципальной программы рассчитывается по формуле:</w:t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577215</wp:posOffset>
            </wp:positionH>
            <wp:positionV relativeFrom="paragraph">
              <wp:posOffset>544195</wp:posOffset>
            </wp:positionV>
            <wp:extent cx="1428750" cy="580390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uppressAutoHyphens w:val="true"/>
        <w:spacing w:lineRule="auto" w:line="240" w:before="0" w:after="0"/>
        <w:ind w:firstLine="851"/>
        <w:jc w:val="both"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 </w:t>
      </w:r>
      <w:r/>
    </w:p>
    <w:p>
      <w:pPr>
        <w:pStyle w:val="Normal"/>
        <w:suppressAutoHyphens w:val="true"/>
        <w:spacing w:lineRule="auto" w:line="240" w:before="0" w:after="0"/>
        <w:ind w:firstLine="851"/>
        <w:jc w:val="both"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СРгп = 1/2 = 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0,5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 где, </w:t>
      </w:r>
      <w:r/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</w:r>
      <w:r/>
    </w:p>
    <w:p>
      <w:pPr>
        <w:pStyle w:val="Normal"/>
        <w:suppressAutoHyphens w:val="true"/>
        <w:spacing w:lineRule="atLeast" w:line="10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СРгп - степень реализации муниципальной программы;</w:t>
      </w:r>
      <w:r/>
    </w:p>
    <w:p>
      <w:pPr>
        <w:pStyle w:val="Normal"/>
        <w:suppressAutoHyphens w:val="true"/>
        <w:spacing w:lineRule="atLeast" w:line="10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СДгппз - степень достижения планового значения целевого показателя (индикатора), характеризующего цели и задачи муниципальной программы;</w:t>
      </w:r>
      <w:r/>
    </w:p>
    <w:p>
      <w:pPr>
        <w:pStyle w:val="Normal"/>
        <w:suppressAutoHyphens w:val="true"/>
        <w:spacing w:lineRule="atLeast" w:line="10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М - число целевых показателей, характеризующих цели и задачи муниципальной программы.</w:t>
      </w:r>
      <w:r/>
    </w:p>
    <w:p>
      <w:pPr>
        <w:pStyle w:val="Normal"/>
        <w:suppressAutoHyphens w:val="true"/>
        <w:spacing w:lineRule="atLeast" w:line="10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При использовании данной формулы в случаях, если СДгппз&gt;1, значение СДгппз принимается равным 1.</w:t>
      </w:r>
      <w:r/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</w:r>
      <w:r/>
    </w:p>
    <w:p>
      <w:pPr>
        <w:pStyle w:val="Normal"/>
        <w:suppressAutoHyphens w:val="true"/>
        <w:spacing w:lineRule="auto" w:line="240" w:before="0" w:after="0"/>
        <w:ind w:firstLine="851"/>
        <w:jc w:val="both"/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  <w:t>3.</w:t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FFFFFF" w:val="clear"/>
          <w:lang w:eastAsia="zh-CN"/>
        </w:rPr>
        <w:t xml:space="preserve"> Оценка эффективности реализации муниципальной программы рассчитывается по формуле:</w:t>
      </w:r>
      <w:r/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sz w:val="28"/>
          <w:u w:val="single"/>
          <w:shd w:fill="FFFFFF" w:val="clear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shd w:fill="FFFFFF" w:val="clear"/>
          <w:lang w:eastAsia="zh-CN"/>
        </w:rPr>
      </w:r>
      <w:r/>
    </w:p>
    <w:p>
      <w:pPr>
        <w:pStyle w:val="Normal"/>
        <w:suppressAutoHyphens w:val="true"/>
        <w:spacing w:lineRule="auto" w:line="240" w:before="0" w:after="0"/>
        <w:ind w:firstLine="709"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 по следующей формуле:</w:t>
      </w:r>
      <w:r/>
    </w:p>
    <w:p>
      <w:pPr>
        <w:pStyle w:val="Normal"/>
        <w:suppressAutoHyphens w:val="true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  </w: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-194310</wp:posOffset>
            </wp:positionH>
            <wp:positionV relativeFrom="paragraph">
              <wp:posOffset>103505</wp:posOffset>
            </wp:positionV>
            <wp:extent cx="2657475" cy="733425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uppressAutoHyphens w:val="true"/>
        <w:spacing w:lineRule="auto" w:line="24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50800</wp:posOffset>
                </wp:positionH>
                <wp:positionV relativeFrom="paragraph">
                  <wp:posOffset>118110</wp:posOffset>
                </wp:positionV>
                <wp:extent cx="3642360" cy="45339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453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20"/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 xml:space="preserve">ЭРгп = 0,5*0,5+0,5*1,83*1 =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28"/>
                                <w:szCs w:val="28"/>
                              </w:rPr>
                              <w:t>1,17</w:t>
                            </w: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 xml:space="preserve">, где,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width:286.8pt;height:35.7pt;mso-wrap-distance-left:9pt;mso-wrap-distance-right:9pt;mso-wrap-distance-top:0pt;mso-wrap-distance-bottom:0pt;margin-top:9.3pt;mso-position-vertical-relative:text;margin-left:4pt;mso-position-horizontal-relative:text">
                <v:textbox>
                  <w:txbxContent>
                    <w:p>
                      <w:pPr>
                        <w:pStyle w:val="Style20"/>
                      </w:pP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</w:rPr>
                        <w:t xml:space="preserve">ЭРгп = 0,5*0,5+0,5*1,83*1 = </w:t>
                      </w:r>
                      <w:r>
                        <w:rPr>
                          <w:rFonts w:cs="Times New Roman" w:ascii="Times New Roman" w:hAnsi="Times New Roman"/>
                          <w:b/>
                          <w:sz w:val="28"/>
                          <w:szCs w:val="28"/>
                        </w:rPr>
                        <w:t>1,17</w:t>
                      </w: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</w:rPr>
                        <w:t xml:space="preserve">, где, 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suppressAutoHyphens w:val="true"/>
        <w:spacing w:lineRule="auto" w:line="24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  <w:r/>
    </w:p>
    <w:p>
      <w:pPr>
        <w:pStyle w:val="Normal"/>
        <w:suppressAutoHyphens w:val="true"/>
        <w:spacing w:lineRule="auto" w:line="24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  <w:r/>
    </w:p>
    <w:p>
      <w:pPr>
        <w:pStyle w:val="Normal"/>
        <w:suppressAutoHyphens w:val="true"/>
        <w:spacing w:lineRule="auto" w:line="24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  <w:r/>
    </w:p>
    <w:p>
      <w:pPr>
        <w:pStyle w:val="Normal"/>
        <w:suppressAutoHyphens w:val="true"/>
        <w:spacing w:lineRule="auto" w:line="240" w:before="0" w:after="0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  <w:r/>
    </w:p>
    <w:p>
      <w:pPr>
        <w:pStyle w:val="Normal"/>
        <w:suppressAutoHyphens w:val="true"/>
        <w:spacing w:lineRule="auto" w:line="240" w:before="0" w:after="0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  <w:r/>
    </w:p>
    <w:p>
      <w:pPr>
        <w:pStyle w:val="Normal"/>
        <w:suppressAutoHyphens w:val="true"/>
        <w:spacing w:lineRule="auto" w:line="240" w:before="0" w:after="0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  <w:r/>
    </w:p>
    <w:p>
      <w:pPr>
        <w:pStyle w:val="Normal"/>
        <w:suppressAutoHyphens w:val="true"/>
        <w:spacing w:lineRule="auto" w:line="240" w:before="0" w:after="0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Сумма  ЭРп/п по подпрограммам:</w:t>
      </w:r>
      <w:r/>
    </w:p>
    <w:p>
      <w:pPr>
        <w:pStyle w:val="Normal"/>
        <w:suppressAutoHyphens w:val="true"/>
        <w:spacing w:lineRule="auto" w:line="24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  <w:r/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ЭРп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 w:eastAsia="ar-SA"/>
        </w:rPr>
        <w:t>/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п = 0,89</w:t>
      </w:r>
      <w:r/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ЭРп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 w:eastAsia="ar-SA"/>
        </w:rPr>
        <w:t>/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п = 0,94</w:t>
      </w:r>
      <w:r/>
    </w:p>
    <w:p>
      <w:pPr>
        <w:pStyle w:val="ListParagraph"/>
        <w:suppressAutoHyphens w:val="true"/>
        <w:spacing w:lineRule="auto" w:line="240" w:before="0" w:after="0"/>
        <w:ind w:left="435" w:hanging="0"/>
        <w:contextualSpacing/>
        <w:jc w:val="both"/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ar-SA"/>
        </w:rPr>
        <w:t>ЭРп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val="en-US" w:eastAsia="ar-SA"/>
        </w:rPr>
        <w:t>/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ar-SA"/>
        </w:rPr>
        <w:t>п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 = 0,89+0,94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ar-SA"/>
        </w:rPr>
        <w:t xml:space="preserve"> = 1,83 </w:t>
      </w:r>
      <w:r/>
    </w:p>
    <w:p>
      <w:pPr>
        <w:pStyle w:val="ListParagraph"/>
        <w:suppressAutoHyphens w:val="true"/>
        <w:spacing w:lineRule="auto" w:line="240" w:before="0" w:after="0"/>
        <w:ind w:left="435" w:hanging="0"/>
        <w:contextualSpacing/>
        <w:jc w:val="both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ar-SA"/>
        </w:rPr>
      </w:r>
      <w:r/>
    </w:p>
    <w:p>
      <w:pPr>
        <w:pStyle w:val="ListParagraph"/>
        <w:suppressAutoHyphens w:val="true"/>
        <w:spacing w:lineRule="auto" w:line="240" w:before="0" w:after="0"/>
        <w:ind w:left="0" w:hanging="0"/>
        <w:contextualSpacing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Коэффициент значимости подпрограммы:</w:t>
      </w:r>
      <w:r/>
    </w:p>
    <w:p>
      <w:pPr>
        <w:pStyle w:val="Normal"/>
        <w:suppressAutoHyphens w:val="true"/>
        <w:spacing w:lineRule="auto" w:line="24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val="en-US"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 w:eastAsia="ar-SA"/>
        </w:rPr>
      </w:r>
      <w:r/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kj = Фj / Ф = 3409,2\11005,9 = 0,28</w:t>
      </w:r>
      <w:r/>
    </w:p>
    <w:p>
      <w:pPr>
        <w:pStyle w:val="ListParagraph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kj = Фj / Ф = 7956,7\11005,9 = 0,72</w:t>
      </w:r>
      <w:r/>
    </w:p>
    <w:p>
      <w:pPr>
        <w:pStyle w:val="ListParagraph"/>
        <w:suppressAutoHyphens w:val="true"/>
        <w:spacing w:lineRule="auto" w:line="240" w:before="0" w:after="0"/>
        <w:ind w:left="435" w:hanging="0"/>
        <w:contextualSpacing/>
        <w:jc w:val="both"/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val="en-US" w:eastAsia="ar-SA"/>
        </w:rPr>
        <w:t>kj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 = 0.28+0.72 = 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ar-SA"/>
        </w:rPr>
        <w:t>1</w:t>
      </w:r>
      <w:r/>
    </w:p>
    <w:p>
      <w:pPr>
        <w:pStyle w:val="ListParagraph"/>
        <w:suppressAutoHyphens w:val="true"/>
        <w:spacing w:lineRule="auto" w:line="240" w:before="0" w:after="0"/>
        <w:ind w:left="435" w:hanging="0"/>
        <w:contextualSpacing/>
        <w:jc w:val="both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ar-SA"/>
        </w:rPr>
      </w:r>
      <w:r/>
    </w:p>
    <w:p>
      <w:pPr>
        <w:pStyle w:val="Normal"/>
        <w:suppressAutoHyphens w:val="true"/>
        <w:spacing w:lineRule="atLeast" w:line="10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СРгп - степень реализации муниципальной программы;</w:t>
      </w:r>
      <w:r/>
    </w:p>
    <w:p>
      <w:pPr>
        <w:pStyle w:val="Normal"/>
        <w:suppressAutoHyphens w:val="true"/>
        <w:spacing w:lineRule="atLeast" w:line="10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ЭРп/п - эффективность реализации подпрограммы;</w:t>
      </w:r>
      <w:r/>
    </w:p>
    <w:p>
      <w:pPr>
        <w:pStyle w:val="Normal"/>
        <w:suppressAutoHyphens w:val="true"/>
        <w:spacing w:lineRule="atLeast" w:line="10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kj - коэффициент значимости подпрограммы 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kj определяется по формуле:</w:t>
      </w:r>
      <w:r/>
    </w:p>
    <w:p>
      <w:pPr>
        <w:pStyle w:val="Normal"/>
        <w:suppressAutoHyphens w:val="true"/>
        <w:spacing w:lineRule="atLeast" w:line="10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</w:r>
      <w:r/>
    </w:p>
    <w:p>
      <w:pPr>
        <w:pStyle w:val="Normal"/>
        <w:suppressAutoHyphens w:val="true"/>
        <w:spacing w:lineRule="atLeast" w:line="10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kj = Фj / Ф, где:</w:t>
      </w:r>
      <w:r/>
    </w:p>
    <w:p>
      <w:pPr>
        <w:pStyle w:val="Normal"/>
        <w:suppressAutoHyphens w:val="true"/>
        <w:spacing w:lineRule="atLeast" w:line="10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Фj - объем фактических расходов из местного бюджета (кассового исполнения) на реализацию j-той подпрограммы  в отчетном году;</w:t>
      </w:r>
      <w:r/>
    </w:p>
    <w:p>
      <w:pPr>
        <w:pStyle w:val="Normal"/>
        <w:suppressAutoHyphens w:val="true"/>
        <w:spacing w:lineRule="atLeast" w:line="10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Ф - объем фактических расходов из местного бюджета (кассового исполнения) на реализацию муниципальной программы.</w:t>
      </w:r>
      <w:r/>
    </w:p>
    <w:p>
      <w:pPr>
        <w:pStyle w:val="Normal"/>
        <w:suppressAutoHyphens w:val="true"/>
        <w:spacing w:lineRule="atLeast" w:line="100" w:before="0" w:after="0"/>
        <w:ind w:firstLine="709"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Эффективность реализации муниципальной программы признается высокой в случае, если значение ЭРгп составляет не менее 0,90.</w:t>
      </w:r>
      <w:r/>
    </w:p>
    <w:p>
      <w:pPr>
        <w:pStyle w:val="Normal"/>
        <w:suppressAutoHyphens w:val="true"/>
        <w:spacing w:lineRule="atLeast" w:line="100" w:before="0" w:after="0"/>
        <w:ind w:firstLine="709"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Эффективность реализации муниципальной программы признается средней в случае, если значение ЭРгп, составляет не менее 0,80.</w:t>
      </w:r>
      <w:r/>
    </w:p>
    <w:p>
      <w:pPr>
        <w:pStyle w:val="Normal"/>
        <w:suppressAutoHyphens w:val="true"/>
        <w:spacing w:lineRule="atLeast" w:line="100" w:before="0" w:after="0"/>
        <w:ind w:firstLine="709"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Эффективность реализации муниципальной программы признается удовлетворительной в случае, если значение ЭРгп составляет не менее 0,70.</w:t>
      </w:r>
      <w:r/>
    </w:p>
    <w:p>
      <w:pPr>
        <w:pStyle w:val="Normal"/>
        <w:suppressAutoHyphens w:val="true"/>
        <w:spacing w:lineRule="atLeast" w:line="100" w:before="0" w:after="0"/>
        <w:ind w:firstLine="709"/>
        <w:jc w:val="both"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В остальных случаях эффективность реализации муниципальной программы признается неудовлетворительной.</w:t>
      </w:r>
      <w:r/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 w:eastAsia="Calibri" w:cs="Calibri"/>
          <w:color w:val="000000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</w:r>
      <w:r/>
    </w:p>
    <w:p>
      <w:pPr>
        <w:pStyle w:val="Normal"/>
        <w:suppressAutoHyphens w:val="true"/>
        <w:spacing w:lineRule="auto" w:line="240" w:before="0" w:after="0"/>
        <w:ind w:firstLine="708"/>
        <w:jc w:val="both"/>
      </w:pPr>
      <w:r>
        <w:rPr>
          <w:rFonts w:eastAsia="Calibri" w:cs="Calibri" w:ascii="Times New Roman" w:hAnsi="Times New Roman"/>
          <w:color w:val="00000A"/>
          <w:sz w:val="28"/>
          <w:lang w:eastAsia="ru-RU"/>
        </w:rPr>
        <w:t xml:space="preserve">Эффективность реализации программы составляет </w:t>
      </w:r>
      <w:r>
        <w:rPr>
          <w:rFonts w:eastAsia="Calibri" w:cs="Calibri" w:ascii="Times New Roman" w:hAnsi="Times New Roman"/>
          <w:b/>
          <w:color w:val="00000A"/>
          <w:sz w:val="28"/>
          <w:lang w:eastAsia="ru-RU"/>
        </w:rPr>
        <w:t>1,17</w:t>
      </w:r>
      <w:r>
        <w:rPr>
          <w:rFonts w:eastAsia="Calibri" w:cs="Calibri" w:ascii="Times New Roman" w:hAnsi="Times New Roman"/>
          <w:color w:val="00000A"/>
          <w:sz w:val="28"/>
          <w:lang w:eastAsia="ru-RU"/>
        </w:rPr>
        <w:t xml:space="preserve"> и может быть признана </w:t>
      </w:r>
      <w:r>
        <w:rPr>
          <w:rFonts w:eastAsia="Calibri" w:cs="Calibri" w:ascii="Times New Roman" w:hAnsi="Times New Roman"/>
          <w:b/>
          <w:color w:val="00000A"/>
          <w:sz w:val="28"/>
          <w:lang w:eastAsia="ru-RU"/>
        </w:rPr>
        <w:t>высокой</w:t>
      </w:r>
      <w:r>
        <w:rPr>
          <w:rFonts w:eastAsia="Calibri" w:cs="Calibri" w:ascii="Times New Roman" w:hAnsi="Times New Roman"/>
          <w:color w:val="00000A"/>
          <w:sz w:val="28"/>
          <w:lang w:eastAsia="ru-RU"/>
        </w:rPr>
        <w:t>.</w:t>
      </w:r>
      <w:r/>
    </w:p>
    <w:p>
      <w:pPr>
        <w:pStyle w:val="Normal"/>
        <w:suppressAutoHyphens w:val="true"/>
        <w:spacing w:lineRule="auto" w:line="240" w:before="0" w:after="0"/>
        <w:jc w:val="both"/>
        <w:rPr>
          <w:sz w:val="28"/>
          <w:sz w:val="28"/>
          <w:rFonts w:ascii="Times New Roman" w:hAnsi="Times New Roman" w:eastAsia="Calibri" w:cs="Calibri"/>
          <w:color w:val="00000A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lang w:eastAsia="ru-RU"/>
        </w:rPr>
      </w:r>
      <w:r/>
    </w:p>
    <w:p>
      <w:pPr>
        <w:pStyle w:val="Normal"/>
        <w:suppressAutoHyphens w:val="true"/>
        <w:spacing w:lineRule="auto" w:line="240" w:before="0" w:after="0"/>
        <w:jc w:val="both"/>
        <w:rPr>
          <w:sz w:val="28"/>
          <w:sz w:val="28"/>
          <w:rFonts w:ascii="Times New Roman" w:hAnsi="Times New Roman" w:eastAsia="Calibri" w:cs="Calibri"/>
          <w:color w:val="00000A"/>
          <w:lang w:eastAsia="ru-RU"/>
        </w:rPr>
      </w:pPr>
      <w:bookmarkStart w:id="2" w:name="__DdeLink__6479_1011257071"/>
      <w:bookmarkStart w:id="3" w:name="__DdeLink__6479_1011257071"/>
      <w:bookmarkEnd w:id="3"/>
      <w:r>
        <w:rPr>
          <w:rFonts w:eastAsia="Calibri" w:cs="Calibri" w:ascii="Times New Roman" w:hAnsi="Times New Roman"/>
          <w:color w:val="00000A"/>
          <w:sz w:val="28"/>
          <w:lang w:eastAsia="ru-RU"/>
        </w:rPr>
      </w:r>
      <w:r/>
    </w:p>
    <w:p>
      <w:pPr>
        <w:pStyle w:val="Normal"/>
        <w:suppressAutoHyphens w:val="true"/>
        <w:spacing w:lineRule="auto" w:line="240" w:before="0" w:after="0"/>
        <w:jc w:val="both"/>
        <w:rPr>
          <w:sz w:val="28"/>
          <w:sz w:val="28"/>
          <w:rFonts w:ascii="Times New Roman" w:hAnsi="Times New Roman" w:eastAsia="Calibri" w:cs="Calibri"/>
          <w:color w:val="00000A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lang w:eastAsia="ru-RU"/>
        </w:rPr>
      </w:r>
      <w:r/>
    </w:p>
    <w:p>
      <w:pPr>
        <w:pStyle w:val="Normal"/>
        <w:suppressAutoHyphens w:val="true"/>
        <w:spacing w:lineRule="auto" w:line="240" w:before="0" w:after="0"/>
        <w:jc w:val="both"/>
        <w:rPr>
          <w:sz w:val="28"/>
          <w:sz w:val="28"/>
          <w:rFonts w:ascii="Times New Roman" w:hAnsi="Times New Roman" w:eastAsia="Calibri" w:cs="Calibri"/>
          <w:color w:val="00000A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lang w:eastAsia="ru-RU"/>
        </w:rPr>
      </w:r>
      <w:r/>
    </w:p>
    <w:p>
      <w:pPr>
        <w:pStyle w:val="Normal"/>
        <w:suppressAutoHyphens w:val="true"/>
        <w:spacing w:lineRule="auto" w:line="240" w:before="0" w:after="0"/>
        <w:jc w:val="both"/>
        <w:rPr>
          <w:sz w:val="28"/>
          <w:sz w:val="28"/>
          <w:rFonts w:ascii="Times New Roman" w:hAnsi="Times New Roman" w:eastAsia="Calibri" w:cs="Calibri"/>
          <w:color w:val="00000A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lang w:eastAsia="ru-RU"/>
        </w:rPr>
      </w:r>
      <w:r/>
    </w:p>
    <w:p>
      <w:pPr>
        <w:pStyle w:val="Normal"/>
        <w:suppressAutoHyphens w:val="true"/>
        <w:spacing w:lineRule="auto" w:line="240" w:before="0" w:after="0"/>
        <w:jc w:val="both"/>
        <w:rPr>
          <w:sz w:val="28"/>
          <w:sz w:val="28"/>
          <w:rFonts w:ascii="Times New Roman" w:hAnsi="Times New Roman" w:eastAsia="Calibri" w:cs="Calibri"/>
          <w:color w:val="00000A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lang w:eastAsia="ru-RU"/>
        </w:rPr>
        <w:t>Заместитель главы Кавказского</w:t>
      </w:r>
      <w:r/>
    </w:p>
    <w:p>
      <w:pPr>
        <w:pStyle w:val="Normal"/>
        <w:suppressAutoHyphens w:val="true"/>
        <w:spacing w:lineRule="auto" w:line="240" w:before="0" w:after="0"/>
        <w:jc w:val="both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lang w:eastAsia="ru-RU"/>
        </w:rPr>
        <w:t>сельского поселения                                                               Е.А. Короленко</w:t>
      </w:r>
      <w:r/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firstLine="709"/>
        <w:jc w:val="center"/>
        <w:outlineLvl w:val="2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  <w:lang w:eastAsia="ru-RU"/>
        </w:rPr>
        <w:t xml:space="preserve">  </w:t>
      </w:r>
      <w:r/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firstLine="709"/>
        <w:jc w:val="center"/>
        <w:outlineLvl w:val="2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00000A"/>
          <w:lang w:eastAsia="ru-RU"/>
        </w:rPr>
      </w:pP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  <w:lang w:eastAsia="ru-RU"/>
        </w:rPr>
      </w:r>
      <w:r/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firstLine="709"/>
        <w:jc w:val="center"/>
        <w:outlineLvl w:val="2"/>
        <w:rPr/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b161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rsid w:val="00dd295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rsid w:val="00dd29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b65"/>
    <w:pPr>
      <w:spacing w:before="0" w:after="200"/>
      <w:ind w:left="720" w:hanging="0"/>
      <w:contextualSpacing/>
    </w:pPr>
    <w:rPr/>
  </w:style>
  <w:style w:type="paragraph" w:styleId="Style20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Application>LibreOffice/4.3.5.2$Windows_x86 LibreOffice_project/3a87456aaa6a95c63eea1c1b3201acedf0751bd5</Application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2016-03-16T08:11:00Z</dcterms:created>
  <dc:creator>Луч</dc:creator>
  <dc:language>ru-RU</dc:language>
  <cp:lastPrinted>2016-03-21T12:57:00Z</cp:lastPrinted>
  <dcterms:modified xsi:type="dcterms:W3CDTF">2016-06-28T10:38:55Z</dcterms:modified>
  <cp:revision>18</cp:revision>
</cp:coreProperties>
</file>