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wmf" ContentType="image/x-wmf"/>
  <Override PartName="/word/media/image3.wmf" ContentType="image/x-wmf"/>
  <Override PartName="/word/media/image2.emf" ContentType="image/x-emf"/>
  <Override PartName="/word/media/image1.emf" ContentType="image/x-emf"/>
  <Override PartName="/word/embeddings/oleObject2.bin" ContentType="application/vnd.openxmlformats-officedocument.oleObject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2015 год</w:t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«Социальная поддержка граждан» утверждена постановлением администрации муниципального образования Кавказский район от 13.11.2014 года № 487 «Об утверждении муниципальной программы Кавказского сельского поселения Кавказского района «Социальная поддержка граждан».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>Муниципальная программа состоит из 2 подпрограмм: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2015-2017 годы»;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- подпрограмма «Развитие мер социальной поддержки отдельных категорий граждан на 2015-2017 годы».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В  течение 2015 года в муниципальную программу внесено 5 изменений.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ab/>
        <w:t xml:space="preserve">Цели муниципальной программы – </w:t>
      </w:r>
      <w:r>
        <w:rPr>
          <w:rFonts w:ascii="Times New Roman" w:hAnsi="Times New Roman"/>
          <w:sz w:val="28"/>
          <w:szCs w:val="28"/>
          <w:lang w:val="ru-RU"/>
        </w:rPr>
        <w:t>Формирование системы муниципальной поддержки общественных объединений, некоммерческих организаций, направленных на решение актуальных социально значимых проблем населения Кавказского сельского поселения  Кавказского района. Формирование механизма партнерских отношений между органами муниципальной власти поселения  и общественными объединениями, некоммерческими организациями на основе единства интересов, для дальнейшего становления гражданского общества, обеспечения социальной и политической стабильности в поселении.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>Реализация дополнительных мер социальной поддержки в сфере обеспечения социальных гарантий отдельных категорий граждан;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Осуществление на муниципальном уровне мер социальной, материальной  поддержки граждан пожилого возраста, инвалидам, ветеранам и пенсионерам.  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  <w:lang w:val="ru-RU"/>
        </w:rPr>
        <w:tab/>
        <w:t>-осуществление ежемесячных денежных выплат отдельным категориям граждан</w:t>
      </w:r>
      <w:r/>
    </w:p>
    <w:p>
      <w:pPr>
        <w:pStyle w:val="Normal"/>
        <w:spacing w:lineRule="auto" w:line="240" w:before="0" w:after="0"/>
        <w:jc w:val="both"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2015 году был предусмотрен в сумме 309,3 тыс. рублей, в том числе: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309,3 тыс. рублей (100 %).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  <w:r/>
    </w:p>
    <w:p>
      <w:pPr>
        <w:pStyle w:val="3"/>
        <w:ind w:left="0" w:right="0"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  <w:r/>
    </w:p>
    <w:p>
      <w:pPr>
        <w:pStyle w:val="3"/>
        <w:ind w:left="0" w:right="0"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  <w:r/>
    </w:p>
    <w:p>
      <w:pPr>
        <w:pStyle w:val="3"/>
        <w:ind w:left="0" w:right="0" w:hanging="0"/>
        <w:jc w:val="center"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2015-2017 годы</w:t>
      </w:r>
      <w:r>
        <w:rPr>
          <w:b/>
          <w:i w:val="false"/>
        </w:rPr>
        <w:t>».</w:t>
      </w:r>
      <w:r/>
    </w:p>
    <w:p>
      <w:pPr>
        <w:pStyle w:val="Normal"/>
        <w:spacing w:lineRule="auto" w:line="240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2015 году за счет средств краевого бюджета был предусмотрен в сумме 159,3 тыс. рублей,  исполнено 159,2 тыс. руб.  (99,9 %).</w:t>
      </w:r>
      <w:r/>
    </w:p>
    <w:p>
      <w:pPr>
        <w:pStyle w:val="Style14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  <w:lang w:val="ru-RU"/>
        </w:rPr>
        <w:tab/>
        <w:t>Социальная поддержка в виде дополнительного материального обеспечения устанавливается к пенсии по старости, инвалидности, назначаемой в соответствии с Федеральным законом «О трудовых пенсиях в Российской Федерации», или за выслугу лет, назначаемой в соответствии с Федеральным законом «О государственном пенсионном обеспечении в Российской Федерации» и Законом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органах уголовно-исполнительной системы, и их семей», либо к пенсии, досрочно установленной в соответствии с Законом Российской Федерации «О занятости населения в Российской Федерации» с целью улучшения благосостояния отдельных категорий граждан.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2015 года осуществлялась 2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объеме, кредиторская задолженность    на 01.01.2016 г. отсутствует.</w:t>
      </w:r>
      <w:r/>
    </w:p>
    <w:p>
      <w:pPr>
        <w:pStyle w:val="Normal"/>
        <w:spacing w:lineRule="auto" w:line="240" w:before="0" w:after="0"/>
        <w:ind w:left="0" w:right="0" w:hanging="108"/>
        <w:jc w:val="both"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  <w:t>Ежемесячные денежные выплаты осуществлялись двум муниципальным служащим з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амещавших муниципальные должности и должности муниципальной службы в администрации Кавказского сельского поселения.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ab/>
        <w:t>Остаток бюджетных средств в размере 1,8 тыс. рублей возвращен  в местный бюджет.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Эффективность реализации подпрограммы может быть признана удовлетворительной, 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коэффициент эффективности реализации подпрограммы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- 1 (расчет эффективности реализации подпрограммы прилагается).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6"/>
          <w:bCs/>
          <w:rFonts w:ascii="Times New Roman" w:hAnsi="Times New Roman" w:eastAsia="Times New Roman" w:cs="Times New Roman"/>
          <w:color w:val="FF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  <w:r/>
    </w:p>
    <w:p>
      <w:pPr>
        <w:pStyle w:val="3"/>
        <w:jc w:val="center"/>
        <w:rPr>
          <w:i w:val="false"/>
          <w:b/>
          <w:i w:val="false"/>
          <w:b/>
        </w:rPr>
      </w:pPr>
      <w:r>
        <w:rPr>
          <w:b/>
          <w:i w:val="false"/>
        </w:rPr>
        <w:t>2. О ходе реализации подпрограммы</w:t>
      </w:r>
      <w:r/>
    </w:p>
    <w:p>
      <w:pPr>
        <w:pStyle w:val="3"/>
        <w:jc w:val="center"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  <w:r/>
    </w:p>
    <w:p>
      <w:pPr>
        <w:pStyle w:val="3"/>
        <w:jc w:val="center"/>
      </w:pPr>
      <w:r>
        <w:rPr>
          <w:rFonts w:cs="Times New Roman"/>
          <w:b/>
          <w:i w:val="false"/>
          <w:sz w:val="28"/>
          <w:szCs w:val="28"/>
          <w:lang w:val="ru-RU"/>
        </w:rPr>
        <w:t>на 2015-2017 годы</w:t>
      </w:r>
      <w:r>
        <w:rPr>
          <w:b/>
          <w:i w:val="false"/>
        </w:rPr>
        <w:t>».</w:t>
      </w:r>
      <w:r/>
    </w:p>
    <w:p>
      <w:pPr>
        <w:pStyle w:val="Normal"/>
        <w:spacing w:lineRule="auto" w:line="24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финансированияна реализацию подпрограммы за счет средств местного бюджета   на 2015 год предусмотрен в сумме  150,0тыс. рублей, освоено 142,4 тыс. руб. (94,9%)</w:t>
      </w:r>
      <w:r>
        <w:rPr>
          <w:rFonts w:cs="Times New Roman" w:ascii="Times New Roman" w:hAnsi="Times New Roman"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не в полном объеме. 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Проведены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50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торжественных мероприятий,  посвященных  значимым  датам,  с  участием  1500 человек. Оказана  материальная поддержка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>33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малообеспеченным ветеранам, ветеранам ВОВ, мероприятия, направленные на социальную поддержку ветеранов боевых действий в Афганистане и других локальных войнах, </w:t>
      </w:r>
      <w:r>
        <w:rPr>
          <w:rStyle w:val="12"/>
          <w:rFonts w:eastAsia="Times New Roman" w:cs="Times New Roman" w:ascii="Times New Roman" w:hAnsi="Times New Roman"/>
          <w:bCs/>
          <w:sz w:val="24"/>
          <w:szCs w:val="28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sz w:val="28"/>
          <w:szCs w:val="28"/>
        </w:rPr>
        <w:t xml:space="preserve">на социальную поддержку </w:t>
      </w:r>
      <w:r>
        <w:rPr>
          <w:rStyle w:val="12"/>
          <w:rFonts w:eastAsia="Times New Roman" w:cs="Times New Roman" w:ascii="Times New Roman" w:hAnsi="Times New Roman"/>
          <w:sz w:val="28"/>
          <w:szCs w:val="28"/>
        </w:rPr>
        <w:t>участников ликвидации аварии на Чернобыльской АЭС,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председатель общества инвалидов ст.Кавказской и </w:t>
      </w:r>
      <w:r>
        <w:rPr>
          <w:rFonts w:eastAsia="Times New Roman" w:cs="Times New Roman" w:ascii="Times New Roman" w:hAnsi="Times New Roman"/>
          <w:sz w:val="24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на поддержку Кавказского хуторского казачьего общества.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  <w:t xml:space="preserve">Эффективность реализации подпрограммы может быть признана высокая,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коэффициент эффективности реализации подпрограммы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- 0,9 (расчет эффективности реализации подпрограммы прилагается).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6"/>
          <w:bCs/>
          <w:rFonts w:ascii="Times New Roman" w:hAnsi="Times New Roman" w:eastAsia="Times New Roman" w:cs="Times New Roman"/>
          <w:color w:val="FF0000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FF0000"/>
          <w:sz w:val="28"/>
          <w:szCs w:val="26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  <w:shd w:fill="FFFFFF" w:val="clear"/>
        </w:rPr>
        <w:t xml:space="preserve">По итогам  проведенного анализа реализации подпрограмм, входящих  в муниципальную программу </w:t>
      </w:r>
      <w:r>
        <w:rPr>
          <w:rFonts w:ascii="Times New Roman" w:hAnsi="Times New Roman"/>
          <w:sz w:val="28"/>
          <w:shd w:fill="FFFFFF" w:val="clear"/>
        </w:rPr>
        <w:t>«Социальная поддержка граждан», э</w:t>
      </w:r>
      <w:r>
        <w:rPr>
          <w:rFonts w:ascii="Times New Roman" w:hAnsi="Times New Roman"/>
          <w:color w:val="000000"/>
          <w:sz w:val="28"/>
          <w:shd w:fill="FFFFFF" w:val="clear"/>
        </w:rPr>
        <w:t xml:space="preserve">ффективность реализации  муниципальной </w:t>
      </w:r>
      <w:r>
        <w:rPr>
          <w:rFonts w:ascii="Times New Roman" w:hAnsi="Times New Roman"/>
          <w:sz w:val="28"/>
          <w:shd w:fill="FFFFFF" w:val="clear"/>
        </w:rPr>
        <w:t>программы с</w:t>
      </w:r>
      <w:r>
        <w:rPr>
          <w:rFonts w:ascii="Times New Roman" w:hAnsi="Times New Roman"/>
          <w:color w:val="000000"/>
          <w:sz w:val="28"/>
          <w:shd w:fill="FFFFFF" w:val="clear"/>
        </w:rPr>
        <w:t xml:space="preserve">огласно расчету, произведенному по методике оценки эффективности реализации  муниципальных </w:t>
      </w:r>
      <w:r>
        <w:rPr>
          <w:rFonts w:ascii="Times New Roman" w:hAnsi="Times New Roman"/>
          <w:sz w:val="28"/>
          <w:shd w:fill="FFFFFF" w:val="clear"/>
        </w:rPr>
        <w:t xml:space="preserve">программ может быть признана высокой,коэффициент эффективности реализации муниципальной программы  составила 1,1 </w:t>
      </w:r>
      <w:r>
        <w:rPr>
          <w:rFonts w:ascii="Times New Roman" w:hAnsi="Times New Roman"/>
          <w:color w:val="000000"/>
          <w:sz w:val="28"/>
          <w:shd w:fill="FFFFFF" w:val="clear"/>
        </w:rPr>
        <w:t xml:space="preserve"> (расчет прилагается). </w:t>
      </w:r>
      <w:r/>
    </w:p>
    <w:p>
      <w:pPr>
        <w:pStyle w:val="Normal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  <w:r/>
    </w:p>
    <w:p>
      <w:pPr>
        <w:pStyle w:val="Normal"/>
        <w:spacing w:lineRule="auto" w:line="240" w:before="0" w:after="0"/>
        <w:ind w:firstLine="851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2015-2017 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8"/>
          <w:rFonts w:ascii="Times New Roman" w:hAnsi="Times New Roman" w:eastAsia="" w:cs="Times New Roman" w:eastAsiaTheme="minorEastAsia"/>
          <w:color w:val="00000A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=159,3,0/159,2=1,0</w:t>
      </w:r>
      <w:r>
        <w:rPr>
          <w:rFonts w:cs="Times New Roman" w:ascii="Times New Roman" w:hAnsi="Times New Roman"/>
          <w:color w:val="000000"/>
          <w:sz w:val="28"/>
          <w:szCs w:val="28"/>
        </w:rPr>
        <w:t>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Эис = СРм/ССуз = 1,0/1,0 = 1,0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  <w:r/>
    </w:p>
    <w:p>
      <w:pPr>
        <w:pStyle w:val="Normal"/>
        <w:jc w:val="both"/>
      </w:pPr>
      <w:r>
        <w:rPr>
          <w:rFonts w:ascii="Times New Roman" w:hAnsi="Times New Roman"/>
          <w:sz w:val="28"/>
          <w:szCs w:val="28"/>
        </w:rPr>
        <w:t>СДп/ппз = ЗПп/пф / ЗПп/пп=2/2=1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  <w:r/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2" style="width:132.65pt;height:59.15pt" o:ole="">
            <v:imagedata r:id="rId3" o:title=""/>
          </v:shape>
          <o:OLEObject Type="Embed" ProgID="StaticMetafile" ShapeID="ole_rId2" DrawAspect="Content" ObjectID="_8096" r:id="rId2"/>
        </w:objec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>СРп/п=1/1=1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2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>ЭРп/п = СРп/п*Эис = 1*1,0= 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  <w:r/>
    </w:p>
    <w:p>
      <w:pPr>
        <w:pStyle w:val="3"/>
        <w:jc w:val="center"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  <w:r/>
    </w:p>
    <w:p>
      <w:pPr>
        <w:pStyle w:val="Normal"/>
        <w:spacing w:lineRule="auto" w:line="240" w:before="0" w:after="0"/>
        <w:ind w:firstLine="851"/>
        <w:jc w:val="center"/>
      </w:pPr>
      <w:r>
        <w:rPr>
          <w:rFonts w:cs="Times New Roman" w:ascii="Times New Roman" w:hAnsi="Times New Roman"/>
          <w:b/>
          <w:i w:val="false"/>
          <w:sz w:val="28"/>
          <w:szCs w:val="28"/>
          <w:lang w:val="ru-RU"/>
        </w:rPr>
        <w:t>на 2015-2017 годы</w:t>
      </w:r>
      <w:r>
        <w:rPr>
          <w:rFonts w:cs="Times New Roman" w:ascii="Times New Roman" w:hAnsi="Times New Roman"/>
          <w:b/>
          <w:i w:val="false"/>
          <w:sz w:val="28"/>
          <w:szCs w:val="28"/>
        </w:rPr>
        <w:t>»</w:t>
      </w:r>
      <w:r>
        <w:rPr>
          <w:rFonts w:cs="Times New Roman" w:ascii="Times New Roman" w:hAnsi="Times New Roman"/>
          <w:b/>
          <w:sz w:val="28"/>
          <w:szCs w:val="28"/>
        </w:rPr>
        <w:t>.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СРм = Мв/М = 4/5 = 0,8,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  <w:r/>
    </w:p>
    <w:p>
      <w:pPr>
        <w:pStyle w:val="Normal"/>
        <w:jc w:val="center"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=142,4/150,0=0,9, 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color w:val="000000"/>
          <w:sz w:val="28"/>
        </w:rPr>
        <w:t>Эис = СРм/ССуз = 0,8/0,9= 0,9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  <w:szCs w:val="28"/>
        </w:rPr>
        <w:t>СДп/ппз = ЗПп/пф / Зпп/пп=5/5=1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cs="Times New Roman" w:ascii="Times New Roman" w:hAnsi="Times New Roman"/>
          <w:sz w:val="28"/>
          <w:szCs w:val="28"/>
          <w:u w:val="single"/>
        </w:rPr>
        <w:t>Мероприятия, направленные на социальную поддержку ветеранов боев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2"/>
          <w:u w:val="none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  <w:r/>
    </w:p>
    <w:p>
      <w:pPr>
        <w:pStyle w:val="Normal"/>
        <w:spacing w:lineRule="auto" w:line="240" w:before="0" w:after="0"/>
        <w:jc w:val="both"/>
        <w:rPr>
          <w:rFonts w:eastAsia="Calibri" w:cs="Calibri"/>
          <w:color w:val="000000"/>
        </w:rPr>
      </w:pPr>
      <w:r>
        <w:rPr/>
        <w:object>
          <v:shape id="ole_rId4" style="width:140.65pt;height:64.05pt" o:ole="">
            <v:imagedata r:id="rId5" o:title=""/>
          </v:shape>
          <o:OLEObject Type="Embed" ProgID="StaticMetafile" ShapeID="ole_rId4" DrawAspect="Content" ObjectID="_25107" r:id="rId4"/>
        </w:objec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где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СРп/п=1/1=1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  <w:color w:val="00B050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  <w:r/>
    </w:p>
    <w:p>
      <w:pPr>
        <w:pStyle w:val="Normal"/>
        <w:spacing w:lineRule="auto" w:line="240" w:before="0" w:after="0"/>
        <w:ind w:firstLine="851"/>
        <w:jc w:val="both"/>
      </w:pPr>
      <w:r>
        <w:rPr>
          <w:rFonts w:ascii="Times New Roman" w:hAnsi="Times New Roman"/>
          <w:sz w:val="28"/>
        </w:rPr>
        <w:t xml:space="preserve">ЭРп/п = СРп/п*Эис = 1*0,9= </w:t>
      </w:r>
      <w:bookmarkStart w:id="0" w:name="__DdeLink__1975_320129718"/>
      <w:bookmarkEnd w:id="0"/>
      <w:r>
        <w:rPr>
          <w:rFonts w:ascii="Times New Roman" w:hAnsi="Times New Roman"/>
          <w:sz w:val="28"/>
        </w:rPr>
        <w:t>0,9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u w:val="single"/>
          <w:sz w:val="28"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rFonts w:ascii="Times New Roman" w:hAnsi="Times New Roman"/>
        </w:rPr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ind w:firstLine="851"/>
        <w:jc w:val="center"/>
      </w:pPr>
      <w:r>
        <w:rPr>
          <w:rFonts w:ascii="Times New Roman" w:hAnsi="Times New Roman"/>
          <w:b/>
          <w:sz w:val="28"/>
        </w:rPr>
        <w:t>Расчет эффективности реализации программы</w:t>
      </w:r>
      <w:r/>
    </w:p>
    <w:p>
      <w:pPr>
        <w:pStyle w:val="Normal"/>
        <w:spacing w:lineRule="auto" w:line="240"/>
        <w:jc w:val="center"/>
      </w:pPr>
      <w:r>
        <w:rPr>
          <w:rFonts w:cs="Times New Roman" w:ascii="Times New Roman" w:hAnsi="Times New Roman"/>
          <w:b/>
          <w:sz w:val="28"/>
        </w:rPr>
        <w:t>«Социальная поддержка граждан»</w:t>
      </w:r>
      <w:r/>
    </w:p>
    <w:p>
      <w:pPr>
        <w:pStyle w:val="Normal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  <w:r/>
    </w:p>
    <w:p>
      <w:pPr>
        <w:pStyle w:val="Normal"/>
        <w:spacing w:lineRule="auto" w:line="240" w:before="0" w:after="0"/>
        <w:jc w:val="left"/>
      </w:pPr>
      <w:r>
        <w:rPr/>
        <w:drawing>
          <wp:inline distT="0" distB="0" distL="0" distR="0">
            <wp:extent cx="1429385" cy="58039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  <w:jc w:val="left"/>
      </w:pPr>
      <w:r>
        <w:rPr>
          <w:rFonts w:ascii="Times New Roman" w:hAnsi="Times New Roman"/>
          <w:sz w:val="28"/>
          <w:szCs w:val="28"/>
        </w:rPr>
        <w:t>СРгп = 2/1,94 = 1, 03 (1), где:</w:t>
      </w:r>
      <w:r/>
    </w:p>
    <w:p>
      <w:pPr>
        <w:pStyle w:val="Normal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  <w:r/>
    </w:p>
    <w:p>
      <w:pPr>
        <w:pStyle w:val="Normal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  <w:r/>
    </w:p>
    <w:p>
      <w:pPr>
        <w:pStyle w:val="Normal"/>
        <w:spacing w:lineRule="auto" w:line="240" w:before="0" w:after="0"/>
        <w:jc w:val="left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lineRule="auto" w:line="240"/>
        <w:jc w:val="left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  <w:r/>
    </w:p>
    <w:p>
      <w:pPr>
        <w:pStyle w:val="Normal"/>
        <w:spacing w:lineRule="auto" w:line="240" w:before="0" w:after="0"/>
        <w:jc w:val="both"/>
      </w:pPr>
      <w:r>
        <w:rPr/>
        <w:drawing>
          <wp:inline distT="0" distB="0" distL="0" distR="0">
            <wp:extent cx="2691765" cy="58420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kj = Фj / Ф, 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" w:cs="" w:cstheme="minorBidi" w:eastAsiaTheme="minorEastAsia"/>
          <w:color w:val="00000A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Ф=142,4</w:t>
      </w:r>
      <w:r>
        <w:rPr>
          <w:rFonts w:eastAsia="Times New Roman" w:cs="Times New Roman" w:ascii="Times New Roman" w:hAnsi="Times New Roman"/>
          <w:sz w:val="24"/>
          <w:szCs w:val="24"/>
        </w:rPr>
        <w:t>/301,7=0,4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Ф=159,3</w:t>
      </w:r>
      <w:r>
        <w:rPr>
          <w:rFonts w:eastAsia="Times New Roman" w:cs="Times New Roman" w:ascii="Times New Roman" w:hAnsi="Times New Roman"/>
          <w:sz w:val="24"/>
          <w:szCs w:val="24"/>
        </w:rPr>
        <w:t>/301,7=0,5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ЭРгп=0,5*0,5+0,5*1,9*0,9=1,1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высокая.</w:t>
      </w:r>
      <w:r/>
    </w:p>
    <w:p>
      <w:pPr>
        <w:pStyle w:val="Normal"/>
        <w:spacing w:before="0" w:after="200"/>
        <w:rPr>
          <w:sz w:val="22"/>
          <w:sz w:val="22"/>
          <w:szCs w:val="22"/>
          <w:rFonts w:ascii="Calibri" w:hAnsi="Calibri" w:eastAsia="" w:cs="" w:asciiTheme="minorHAnsi" w:cstheme="minorBidi" w:eastAsiaTheme="minorEastAsia" w:hAnsiTheme="minorHAnsi"/>
          <w:color w:val="00000A"/>
          <w:lang w:val="ru-RU" w:eastAsia="ru-RU" w:bidi="ar-SA"/>
        </w:rPr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basedOn w:val="DefaultParagraphFont"/>
    <w:link w:val="3"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rPr/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link w:val="a5"/>
    <w:uiPriority w:val="99"/>
    <w:semiHidden/>
    <w:unhideWhenUsed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emf"/><Relationship Id="rId4" Type="http://schemas.openxmlformats.org/officeDocument/2006/relationships/oleObject" Target="embeddings/oleObject2.bin"/><Relationship Id="rId5" Type="http://schemas.openxmlformats.org/officeDocument/2006/relationships/image" Target="media/image2.emf"/><Relationship Id="rId6" Type="http://schemas.openxmlformats.org/officeDocument/2006/relationships/image" Target="media/image3.wmf"/><Relationship Id="rId7" Type="http://schemas.openxmlformats.org/officeDocument/2006/relationships/image" Target="media/image4.wmf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18549</TotalTime>
  <Application>LibreOffice/4.3.5.2$Windows_x86 LibreOffice_project/3a87456aaa6a95c63eea1c1b3201acedf0751bd5</Application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2016-03-01T11:19:00Z</cp:lastPrinted>
  <dcterms:modified xsi:type="dcterms:W3CDTF">2016-03-28T11:11:12Z</dcterms:modified>
  <cp:revision>40</cp:revision>
</cp:coreProperties>
</file>