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5.wmf" ContentType="image/x-wmf"/>
  <Override PartName="/word/media/image4.wmf" ContentType="image/x-wmf"/>
  <Override PartName="/word/media/image2.emf" ContentType="image/x-emf"/>
  <Override PartName="/word/media/image3.emf" ContentType="image/x-emf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cs="Times New Roman" w:ascii="Times New Roman" w:hAnsi="Times New Roman"/>
          <w:b/>
          <w:sz w:val="28"/>
          <w:szCs w:val="28"/>
        </w:rPr>
        <w:t>»  за 2015 год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«Развитие культуры Кавказского сельского поселения» утверждена постановлением администрации муниципального образования Кавказский район от 13.11.2014 года № 481 «Об утверждении муниципальной программы «Развитие культуры Кавказского сельского поселения»».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состоит из 3 подпрограмм:</w:t>
      </w:r>
      <w:r/>
    </w:p>
    <w:p>
      <w:pPr>
        <w:pStyle w:val="Normal"/>
        <w:spacing w:lineRule="auto" w:line="240" w:before="24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cs="Times New Roman"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2015 - 2017 годы»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  <w:r/>
    </w:p>
    <w:p>
      <w:pPr>
        <w:pStyle w:val="Normal"/>
        <w:spacing w:before="240" w:after="20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cs="Times New Roman" w:ascii="Times New Roman" w:hAnsi="Times New Roman"/>
          <w:sz w:val="28"/>
          <w:szCs w:val="28"/>
        </w:rPr>
        <w:t>«Организация досуга и обеспечение жителей Кавказского сельского поселения услугами организаций культуры на 2015 - 2017 годы»;</w:t>
      </w:r>
      <w:r/>
    </w:p>
    <w:p>
      <w:pPr>
        <w:pStyle w:val="Normal"/>
        <w:spacing w:before="240" w:after="20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cs="Times New Roman" w:ascii="Times New Roman" w:hAnsi="Times New Roman"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В  течение 2015 года в муниципальную программу внесено 6 изменений.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программы :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поселения. </w:t>
      </w:r>
      <w:r>
        <w:rPr>
          <w:rFonts w:cs="Times New Roman" w:ascii="Times New Roman" w:hAnsi="Times New Roman"/>
          <w:sz w:val="28"/>
          <w:szCs w:val="28"/>
          <w:lang w:eastAsia="en-US"/>
        </w:rPr>
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создание условий для расширения доступности услуг культуры в </w:t>
      </w:r>
      <w:r>
        <w:rPr>
          <w:rFonts w:cs="Times New Roman" w:ascii="Times New Roman" w:hAnsi="Times New Roman"/>
          <w:sz w:val="28"/>
          <w:szCs w:val="28"/>
        </w:rPr>
        <w:t>Кавказском сельском поселении;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   учреждений культуры всех типов; создание условий для обеспечения улучшения качества кино услуг для населения Кавказского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  <w:r/>
    </w:p>
    <w:p>
      <w:pPr>
        <w:pStyle w:val="Normal"/>
        <w:spacing w:lineRule="auto" w:line="240" w:before="0" w:after="0"/>
        <w:jc w:val="both"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2015 году был предусмотрен в сумме 33036,3 тыс. рублей, в том числе: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16653,0 тыс. руб. (50,4 %)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 за счет средств краевого бюджета – 6333,3 тыс.руб.(19,2%)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 за счет внебюджетных средств – 10050,0 тыс.руб. (30,4%)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</w:rPr>
      </w:pPr>
      <w:r>
        <w:rPr>
          <w:b/>
          <w:i w:val="false"/>
        </w:rPr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</w:rPr>
      </w:pPr>
      <w:r>
        <w:rPr>
          <w:b/>
          <w:i w:val="false"/>
        </w:rPr>
      </w:r>
      <w:r/>
    </w:p>
    <w:p>
      <w:pPr>
        <w:pStyle w:val="3"/>
        <w:ind w:hanging="0"/>
        <w:jc w:val="center"/>
        <w:rPr>
          <w:i w:val="false"/>
          <w:b/>
          <w:i w:val="false"/>
          <w:b/>
        </w:rPr>
      </w:pPr>
      <w:r>
        <w:rPr>
          <w:b/>
          <w:i w:val="false"/>
        </w:rPr>
        <w:t>1. О ходе реализации подпрограммы «</w:t>
      </w:r>
      <w:r>
        <w:rPr>
          <w:b/>
          <w:i w:val="false"/>
          <w:szCs w:val="28"/>
        </w:rPr>
        <w:t>Организация библиотечного обслуживания населения Кавказского сельского поселения на 2015 - 2017 годы</w:t>
      </w:r>
      <w:r>
        <w:rPr>
          <w:b/>
          <w:i w:val="false"/>
        </w:rPr>
        <w:t>».</w:t>
      </w:r>
      <w:r/>
    </w:p>
    <w:p>
      <w:pPr>
        <w:pStyle w:val="Normal"/>
        <w:spacing w:lineRule="auto" w:line="240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Объем финансирования подпрограммы в 2015 году был предусмотрен в сумме 4596,6 тыс. рублей, в том числе: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2646,7 тыс. руб. (57,6 %)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 за счет средств краевого бюджета – 1549,9 тыс.руб.(33,7%)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 за счет внебюджетных средств – 400,0 тыс.руб. (8,7%)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программу входят четыре мероприятия: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№1:</w:t>
      </w:r>
      <w:r>
        <w:rPr>
          <w:rFonts w:eastAsia="Times New Roman" w:cs="Times New Roman" w:ascii="Times New Roman" w:hAnsi="Times New Roman"/>
          <w:sz w:val="28"/>
          <w:szCs w:val="28"/>
        </w:rPr>
        <w:t>поэтапное повышение уровня средней заработной платы работников муниципальных учреждений отрасли культуры, искусства и кинематографии.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№2:</w:t>
      </w:r>
      <w:r>
        <w:rPr>
          <w:rFonts w:eastAsia="Times New Roman" w:cs="Times New Roman"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  <w:r/>
    </w:p>
    <w:p>
      <w:pPr>
        <w:pStyle w:val="Normal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№.3:</w:t>
      </w: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 4:</w:t>
      </w:r>
      <w:r>
        <w:rPr>
          <w:rFonts w:ascii="Times New Roman" w:hAnsi="Times New Roman"/>
          <w:sz w:val="28"/>
          <w:szCs w:val="28"/>
        </w:rPr>
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Мероприятие №1 исполнено не полностью в связи с временной нетрудоспособностью работников учреждений культуры. (99,38%)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Так же мероприятие №3 исполнено не полностью, 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услуги.(73,24%)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общем мероприятия исполнены на 99,8%.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Целевые показатели достижения целей и решения задач:</w:t>
      </w:r>
      <w:r/>
    </w:p>
    <w:p>
      <w:pPr>
        <w:pStyle w:val="Normal"/>
        <w:ind w:firstLine="34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количество выполненных справок (консультаций) за 2015г -770шт;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организация и проведение культурных мероприятий за 2015г -130;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количество получателей услуг (записано пользователей за год) за 2015г-6300чел.;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формирование и хранение фондов, предоставление их во временное пользование гражданам за 2015г – 1000экз, что составляет 100% от запланированных показателей.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Остаток бюджетных средств в размере 452,7 тыс. рублей перешел на 2016год.</w:t>
      </w:r>
      <w:r/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</w:rPr>
        <w:t>Целевой показатель, предусмотренный в подпрограмме выполнен.</w:t>
      </w:r>
      <w:r/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6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Эффективность реализации подпрограммы может быть признана удовлетворительной, </w:t>
      </w:r>
      <w:r>
        <w:rPr>
          <w:rFonts w:eastAsia="Times New Roman" w:cs="Times New Roman" w:ascii="Times New Roman" w:hAnsi="Times New Roman"/>
          <w:color w:val="00000A"/>
          <w:sz w:val="28"/>
          <w:shd w:fill="FFFFFF" w:val="clear"/>
        </w:rPr>
        <w:t xml:space="preserve">коэффициент эффективности реализации подпрограммы 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- 1 (расчет эффективности реализации подпрограммы прилагается).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6"/>
          <w:bCs/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</w:rPr>
      </w:r>
      <w:r/>
    </w:p>
    <w:p>
      <w:pPr>
        <w:pStyle w:val="3"/>
        <w:jc w:val="center"/>
        <w:rPr>
          <w:i w:val="false"/>
          <w:b/>
          <w:i w:val="false"/>
          <w:b/>
        </w:rPr>
      </w:pPr>
      <w:r>
        <w:rPr>
          <w:b/>
          <w:i w:val="false"/>
        </w:rPr>
        <w:t>2. О ходе реализации подпрограммы</w:t>
      </w:r>
      <w:r/>
    </w:p>
    <w:p>
      <w:pPr>
        <w:pStyle w:val="3"/>
        <w:jc w:val="center"/>
        <w:rPr>
          <w:i w:val="false"/>
          <w:b/>
          <w:i w:val="false"/>
          <w:b/>
          <w:szCs w:val="28"/>
        </w:rPr>
      </w:pPr>
      <w:r>
        <w:rPr>
          <w:b/>
          <w:i w:val="false"/>
        </w:rPr>
        <w:t xml:space="preserve"> </w:t>
      </w:r>
      <w:r>
        <w:rPr>
          <w:b/>
          <w:i w:val="false"/>
          <w:szCs w:val="28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Объем  финансирования на реализацию подпрограммы на 2015 год предусмотрен в сумме  24972,8тыс. руб.: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-из средств местного бюджета -10539,4тыс.руб.(42,2%)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-из средств краевого бюджета -4783,4 тыс.руб.(19,2%)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-из внебюджетных средств – 9650,0 тыс.руб.(38,6%)  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программу входят шесть мероприятий: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№1: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Поэтапное повышение уровня средней заработной платы работников муниципальных учреждений отрасли культуры, искусства и кинематографии.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№2: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Расходы на обеспечение деятельности (оказание услуг) муниципальных учреждений.</w:t>
      </w:r>
      <w:r/>
    </w:p>
    <w:p>
      <w:pPr>
        <w:pStyle w:val="Normal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 3: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Осуществление муниципальными учреждениями капитального ремонта.  </w:t>
      </w:r>
      <w:r/>
    </w:p>
    <w:p>
      <w:pPr>
        <w:pStyle w:val="Normal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№.4: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Компенсация расходов на оплату жилых помещений, отопления и освещения работникам муниципальных  учреждений, проживающим и работающим в сельской местности.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№5: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2013-2020 годы.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№6: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Государственная поддержка 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2013-2020 годы.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Мероприятие №1 исполнено не полностью, в связи с временной нетрудоспособностью работников учреждений культуры.(95,98%)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Мероприятие №2 исполнено не полностью, в результате экономии по оплате коммунальных услуг, материальных затрат.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Мероприятие №3 исполнено не полностью, в результате экономии средств по конкурсным процедурам(99,86%)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Мероприятие №4 исполнено не полностью, </w:t>
      </w:r>
      <w:r>
        <w:rPr>
          <w:rFonts w:ascii="Times New Roman" w:hAnsi="Times New Roman"/>
          <w:sz w:val="28"/>
          <w:szCs w:val="28"/>
        </w:rPr>
        <w:t>так как оплата жилых помещений, отопления и освещения работникам муниципальных учреждений оплачена согласно предоставленным платежным документам за коммунальные услуги.(99,97%)</w:t>
      </w:r>
      <w:r/>
    </w:p>
    <w:p>
      <w:pPr>
        <w:pStyle w:val="Normal"/>
        <w:spacing w:lineRule="auto" w:line="216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общем мероприятия исполнены на 96,5%.</w:t>
      </w:r>
      <w:r/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Целевой показатель, предусмотренный в подпрограмме выполнен.</w:t>
      </w:r>
      <w:r/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6"/>
        </w:rPr>
        <w:tab/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 xml:space="preserve">Эффективность реализации подпрограммы может быть признана удовлетворительной, </w:t>
      </w:r>
      <w:r>
        <w:rPr>
          <w:rFonts w:eastAsia="Times New Roman" w:cs="Times New Roman" w:ascii="Times New Roman" w:hAnsi="Times New Roman"/>
          <w:color w:val="00000A"/>
          <w:sz w:val="28"/>
          <w:shd w:fill="FFFFFF" w:val="clear"/>
        </w:rPr>
        <w:t xml:space="preserve">коэффициент эффективности реализации подпрограммы </w:t>
      </w:r>
      <w:r>
        <w:rPr>
          <w:rFonts w:cs="Times New Roman" w:ascii="Times New Roman" w:hAnsi="Times New Roman"/>
          <w:color w:val="00000A"/>
          <w:sz w:val="28"/>
          <w:szCs w:val="28"/>
          <w:shd w:fill="FFFFFF" w:val="clear"/>
        </w:rPr>
        <w:t>- 1 (расчет эффективности реализации подпрограммы прилагается).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firstLine="708"/>
        <w:jc w:val="center"/>
        <w:rPr>
          <w:sz w:val="28"/>
          <w:i/>
          <w:b/>
          <w:sz w:val="28"/>
          <w:i/>
          <w:b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6"/>
          <w:bCs/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3"/>
        <w:jc w:val="center"/>
        <w:rPr>
          <w:i w:val="false"/>
          <w:b/>
          <w:i w:val="false"/>
          <w:b/>
        </w:rPr>
      </w:pPr>
      <w:r>
        <w:rPr>
          <w:b/>
          <w:i w:val="false"/>
        </w:rPr>
        <w:t>3. О ходе реализации подпрограммы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0"/>
        </w:rPr>
      </w:pPr>
      <w:r>
        <w:rPr>
          <w:b/>
          <w:i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</w:r>
      <w:r/>
    </w:p>
    <w:p>
      <w:pPr>
        <w:pStyle w:val="3"/>
        <w:jc w:val="left"/>
        <w:rPr>
          <w:i w:val="false"/>
          <w:i w:val="false"/>
        </w:rPr>
      </w:pPr>
      <w:r>
        <w:rPr>
          <w:i w:val="false"/>
          <w:szCs w:val="28"/>
        </w:rPr>
        <w:t xml:space="preserve">       </w:t>
      </w:r>
      <w:r>
        <w:rPr>
          <w:i w:val="false"/>
          <w:szCs w:val="28"/>
        </w:rPr>
        <w:t>Координатор подпрограммы – 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на 2015 год предусмотрен в сумме 3466,9тыс. руб.: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-из средств местного бюджета -3466,9тыс.руб.(100%).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Освоено 3384,5 тыс. руб. (97,62%)</w:t>
      </w:r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программу входят три мероприятия:</w:t>
      </w:r>
      <w:r/>
    </w:p>
    <w:p>
      <w:pPr>
        <w:pStyle w:val="Normal"/>
        <w:spacing w:lineRule="auto" w:line="216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  <w:r/>
    </w:p>
    <w:p>
      <w:pPr>
        <w:pStyle w:val="Normal"/>
        <w:spacing w:lineRule="auto" w:line="216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№1:</w:t>
      </w:r>
      <w:r/>
    </w:p>
    <w:p>
      <w:pPr>
        <w:pStyle w:val="Normal"/>
        <w:spacing w:lineRule="auto" w:line="216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Обеспечение бухгалтерского, налогового учета и отчетности.</w:t>
      </w:r>
      <w:r/>
    </w:p>
    <w:p>
      <w:pPr>
        <w:pStyle w:val="Normal"/>
        <w:spacing w:lineRule="auto" w:line="216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№2:</w:t>
      </w:r>
      <w:r/>
    </w:p>
    <w:p>
      <w:pPr>
        <w:pStyle w:val="Normal"/>
        <w:spacing w:lineRule="auto" w:line="216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Техническое оснащение централизованной бухгалтерии.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Мероприятие № 3:</w:t>
      </w:r>
      <w:r/>
    </w:p>
    <w:p>
      <w:pPr>
        <w:pStyle w:val="Normal"/>
        <w:spacing w:lineRule="auto" w:line="216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Повышение профессионального уровня работников централизованной бухгалтерии.</w:t>
      </w:r>
      <w:r/>
    </w:p>
    <w:p>
      <w:pPr>
        <w:pStyle w:val="Normal"/>
        <w:spacing w:lineRule="auto" w:line="216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Экономия бюджетных средств образовалась по мероприятию №1, в результате экономии по коммунальным платежам.</w:t>
      </w:r>
      <w:r/>
    </w:p>
    <w:p>
      <w:pPr>
        <w:pStyle w:val="Normal"/>
        <w:spacing w:lineRule="auto" w:line="216"/>
        <w:ind w:firstLine="708"/>
        <w:jc w:val="both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Реализация Подпрограммы в 2015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  <w:r/>
    </w:p>
    <w:p>
      <w:pPr>
        <w:pStyle w:val="Normal"/>
        <w:ind w:left="720" w:hanging="0"/>
        <w:jc w:val="center"/>
        <w:rPr>
          <w:sz w:val="28"/>
          <w:b/>
          <w:sz w:val="28"/>
          <w:b/>
          <w:szCs w:val="28"/>
          <w:bCs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  <w:r/>
    </w:p>
    <w:p>
      <w:pPr>
        <w:pStyle w:val="3"/>
        <w:ind w:hanging="0"/>
        <w:jc w:val="center"/>
        <w:rPr>
          <w:i w:val="false"/>
          <w:b/>
          <w:i w:val="false"/>
          <w:b/>
        </w:rPr>
      </w:pPr>
      <w:r>
        <w:rPr>
          <w:b/>
          <w:i w:val="false"/>
        </w:rPr>
        <w:t>«</w:t>
      </w:r>
      <w:r>
        <w:rPr>
          <w:b/>
          <w:i w:val="false"/>
          <w:szCs w:val="28"/>
        </w:rPr>
        <w:t>Организация библиотечного обслуживания населения Кавказского сельского поселения на 2015 - 2017 годы</w:t>
      </w:r>
      <w:r>
        <w:rPr>
          <w:b/>
          <w:i w:val="false"/>
        </w:rPr>
        <w:t>».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= Мв/М = 4/4 = 1,0,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=4589,9/4596,6=0,99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Эис = СРм/ССуз = 1,0/0,99 = 1,0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eastAsia="ar-SA"/>
        </w:rPr>
        <w:t>Количество выполненных справок (консультаций)</w:t>
      </w:r>
      <w:r/>
    </w:p>
    <w:p>
      <w:pPr>
        <w:pStyle w:val="Normal"/>
        <w:jc w:val="both"/>
      </w:pPr>
      <w:r>
        <w:rPr>
          <w:rFonts w:ascii="Times New Roman" w:hAnsi="Times New Roman"/>
          <w:sz w:val="28"/>
          <w:szCs w:val="28"/>
        </w:rPr>
        <w:t>СДп/ппз = ЗПп/пф / Зпп/пп=770/770=1</w:t>
      </w:r>
      <w:r/>
    </w:p>
    <w:p>
      <w:pPr>
        <w:pStyle w:val="Normal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№2.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Организация и проведение культурных мероприятий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ЗПп/пп=125/125=1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№3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Количество получателей услуг (записано пользователей за год)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ЗПп/пп=6300/6300=1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№4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Формирование и хранение фондов, предоставление их во временное пользование гражданам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ЗПп/пп=1000/1000=1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Calibri" w:cs="Calibri"/>
          <w:color w:val="000000"/>
        </w:rPr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СРп/п=1/1=1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ЭРп/п = СРп/п*Эис = 1*1,0=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  <w:r/>
    </w:p>
    <w:p>
      <w:pPr>
        <w:pStyle w:val="3"/>
        <w:jc w:val="center"/>
        <w:rPr>
          <w:i w:val="false"/>
          <w:b/>
          <w:i w:val="false"/>
          <w:b/>
          <w:szCs w:val="28"/>
        </w:rPr>
      </w:pPr>
      <w:r>
        <w:rPr>
          <w:b/>
          <w:i w:val="false"/>
          <w:szCs w:val="28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 xml:space="preserve">СРм = Мв/М = </w:t>
      </w:r>
      <w:r>
        <w:rPr>
          <w:rFonts w:ascii="Times New Roman" w:hAnsi="Times New Roman"/>
          <w:color w:val="000000"/>
          <w:sz w:val="28"/>
        </w:rPr>
        <w:t>6/6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  <w:r/>
    </w:p>
    <w:p>
      <w:pPr>
        <w:pStyle w:val="Normal"/>
        <w:jc w:val="center"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=142,4/150,0=0,9,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 xml:space="preserve">Эис = СРм/ССуз =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/0,9= </w:t>
      </w:r>
      <w:r>
        <w:rPr>
          <w:rFonts w:ascii="Times New Roman" w:hAnsi="Times New Roman"/>
          <w:color w:val="000000"/>
          <w:sz w:val="28"/>
        </w:rPr>
        <w:t>1,1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= Мв/М = 6/6 = 1,0,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=24103/24972,8=0,96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Эис = СРм/ССуз = 1,0/0,96 = 1,0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jc w:val="both"/>
        <w:rPr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№1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Количество получателей услуг (культурно-досуговые мероприятия)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ЗПп/пп=68150/68150=1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№2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Количество мероприятий культурно-досугового характера, проводимые в учреждениях культуры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ЗПп/пп=690/690=1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№3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Организация любительских клубов и объединений по интересам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ЗПп/пп=9/9=1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№4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получателей услуг  (число зрителей</w:t>
      </w:r>
      <w:r>
        <w:rPr>
          <w:rFonts w:cs="Times New Roman" w:ascii="Times New Roman" w:hAnsi="Times New Roman"/>
          <w:sz w:val="28"/>
          <w:szCs w:val="28"/>
        </w:rPr>
        <w:t>)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ЗПп/пп=60100/60100=1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>Показатель №5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Организация и проведение культурных мероприятий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  <w:r/>
    </w:p>
    <w:p>
      <w:pPr>
        <w:pStyle w:val="Normal"/>
        <w:ind w:left="360" w:hanging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1.кино мероприятия (детские кинофестивали, киноуроки, праздничные мероприятия, и др)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ЗПп/пп=36/36=1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посещаемость:</w:t>
      </w:r>
      <w:r>
        <w:rPr>
          <w:rFonts w:ascii="Times New Roman" w:hAnsi="Times New Roman"/>
          <w:sz w:val="28"/>
          <w:szCs w:val="28"/>
        </w:rPr>
        <w:t xml:space="preserve"> СДп/ппз = ЗПп/пф / ЗПп/пп=60100/60100=1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том числе бесплатное количество получателей муниципальной услуги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ЗПп/пп=11400/11400=1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/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3" style="width:28.35pt;height:28.35pt" o:ole="">
            <v:imagedata r:id="rId4" o:title=""/>
          </v:shape>
          <o:OLEObject Type="Embed" ProgID="StaticMetafile" ShapeID="ole_rId3" DrawAspect="Content" ObjectID="_19789" r:id="rId3"/>
        </w:objec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СРп/п=1/1=1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ЭРп/п = СРп/п*Эис = 1*1,0=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</w:rPr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  <w:r/>
    </w:p>
    <w:p>
      <w:pPr>
        <w:pStyle w:val="3"/>
        <w:ind w:hanging="0"/>
        <w:jc w:val="center"/>
        <w:rPr>
          <w:i w:val="false"/>
          <w:b/>
          <w:i w:val="false"/>
          <w:b/>
        </w:rPr>
      </w:pPr>
      <w:r>
        <w:rPr>
          <w:b/>
          <w:i w:val="false"/>
          <w:color w:val="000000"/>
          <w:szCs w:val="28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= Мв/М = 3/3 = 1,0,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</w:t>
      </w:r>
      <w:r>
        <w:rPr>
          <w:rFonts w:cs="Times New Roman" w:ascii="Times New Roman" w:hAnsi="Times New Roman"/>
          <w:color w:val="00000A"/>
          <w:sz w:val="28"/>
          <w:szCs w:val="28"/>
        </w:rPr>
        <w:t>3384,5</w:t>
      </w:r>
      <w:r>
        <w:rPr>
          <w:rFonts w:cs="Times New Roman" w:ascii="Times New Roman" w:hAnsi="Times New Roman"/>
          <w:sz w:val="28"/>
          <w:szCs w:val="28"/>
        </w:rPr>
        <w:t>/3466,9=</w:t>
      </w:r>
      <w:r>
        <w:rPr>
          <w:rFonts w:cs="Times New Roman" w:ascii="Times New Roman" w:hAnsi="Times New Roman"/>
          <w:color w:val="00000A"/>
          <w:sz w:val="28"/>
          <w:szCs w:val="28"/>
        </w:rPr>
        <w:t>0,97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Эис = СРм/ССуз = 1,0/0,97 = 1,0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Уровень оснащенности компьютерной техникой и программным обеспечением, соответствующим современным требованиям бухгалтерского учета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ЗПп/пп=80/80=1</w:t>
      </w:r>
      <w:r/>
    </w:p>
    <w:p>
      <w:pPr>
        <w:pStyle w:val="Normal"/>
        <w:jc w:val="both"/>
        <w:rPr>
          <w:sz w:val="28"/>
          <w:u w:val="single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№2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Увеличение объема финансовых средств, подлежащих учету, по сравнению с предыдущим годом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ЗПп/пп=19,8/19,8=1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Показатель №3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Количество предоставляемой отчетной документации 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ЗПп/пф / ЗПп/пп=80/80=1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/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5" style="width:28.35pt;height:28.35pt" o:ole="">
            <v:imagedata r:id="rId6" o:title=""/>
          </v:shape>
          <o:OLEObject Type="Embed" ProgID="StaticMetafile" ShapeID="ole_rId5" DrawAspect="Content" ObjectID="_7144" r:id="rId5"/>
        </w:objec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СРп/п=1/1=1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ЭРп/п = СРп/п*Эис = 1*1,0=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удовлетворительная.</w:t>
      </w:r>
      <w:r/>
    </w:p>
    <w:p>
      <w:pPr>
        <w:pStyle w:val="Normal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«Развитие культуры Кавказского сельского поселения</w:t>
      </w:r>
      <w:r>
        <w:rPr>
          <w:rFonts w:cs="Times New Roman" w:ascii="Times New Roman" w:hAnsi="Times New Roman"/>
          <w:b/>
          <w:sz w:val="28"/>
          <w:szCs w:val="28"/>
        </w:rPr>
        <w:t>»  за 2015 год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  <w:r/>
    </w:p>
    <w:p>
      <w:pPr>
        <w:pStyle w:val="Normal"/>
        <w:spacing w:lineRule="auto" w:line="240" w:before="0" w:after="0"/>
      </w:pPr>
      <w:r>
        <w:rPr/>
        <w:drawing>
          <wp:inline distT="0" distB="0" distL="0" distR="0">
            <wp:extent cx="1429385" cy="58039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8"/>
          <w:szCs w:val="28"/>
        </w:rPr>
        <w:t>СРгп = 1/1 = 1, где: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lineRule="auto" w:line="24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  <w:r/>
    </w:p>
    <w:p>
      <w:pPr>
        <w:pStyle w:val="Normal"/>
        <w:spacing w:lineRule="auto" w:line="240" w:before="0" w:after="0"/>
        <w:jc w:val="both"/>
      </w:pPr>
      <w:r>
        <w:rPr/>
        <w:drawing>
          <wp:inline distT="0" distB="0" distL="0" distR="0">
            <wp:extent cx="2691765" cy="58420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kj = Фj / Ф, 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Ф=4143,9</w:t>
      </w:r>
      <w:r>
        <w:rPr>
          <w:rFonts w:eastAsia="Times New Roman" w:cs="Times New Roman" w:ascii="Times New Roman" w:hAnsi="Times New Roman"/>
          <w:sz w:val="28"/>
          <w:szCs w:val="28"/>
        </w:rPr>
        <w:t>/31631,4=0,1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Ф=24103</w:t>
      </w:r>
      <w:r>
        <w:rPr>
          <w:rFonts w:eastAsia="Times New Roman" w:cs="Times New Roman" w:ascii="Times New Roman" w:hAnsi="Times New Roman"/>
          <w:sz w:val="28"/>
          <w:szCs w:val="28"/>
        </w:rPr>
        <w:t>/31631,4=0,8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Фj / Ф=3384,5</w:t>
      </w:r>
      <w:r>
        <w:rPr>
          <w:rFonts w:eastAsia="Times New Roman" w:cs="Times New Roman" w:ascii="Times New Roman" w:hAnsi="Times New Roman"/>
          <w:sz w:val="28"/>
          <w:szCs w:val="28"/>
        </w:rPr>
        <w:t>/31631,4=0,1</w:t>
      </w:r>
      <w:r/>
    </w:p>
    <w:p>
      <w:pPr>
        <w:pStyle w:val="Normal"/>
        <w:spacing w:before="0" w:after="0"/>
        <w:rPr>
          <w:sz w:val="28"/>
          <w:sz w:val="28"/>
          <w:szCs w:val="28"/>
          <w:color w:val="00000A"/>
        </w:rPr>
      </w:pPr>
      <w:r>
        <w:rPr>
          <w:sz w:val="28"/>
          <w:szCs w:val="28"/>
        </w:rPr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ЭРгп=0,5*1+0,5*1*1,0=1,0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«ЦБК» 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М.И.Тележенко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before="0" w:after="200"/>
        <w:jc w:val="both"/>
        <w:rPr>
          <w:sz w:val="22"/>
          <w:sz w:val="22"/>
          <w:color w:val="00000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basedOn w:val="DefaultParagraphFont"/>
    <w:link w:val="3"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uiPriority w:val="99"/>
    <w:semiHidden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rsid w:val="00be7613"/>
    <w:rPr/>
  </w:style>
  <w:style w:type="character" w:styleId="ListLabel1">
    <w:name w:val="ListLabel 1"/>
    <w:rPr>
      <w:rFonts w:cs="Times New Roman"/>
      <w:b/>
    </w:rPr>
  </w:style>
  <w:style w:type="paragraph" w:styleId="Style13" w:customStyle="1">
    <w:name w:val="Заголовок"/>
    <w:basedOn w:val="Normal"/>
    <w:next w:val="Style14"/>
    <w:rsid w:val="00be7613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rsid w:val="00be7613"/>
    <w:pPr>
      <w:spacing w:lineRule="auto" w:line="288" w:before="0" w:after="140"/>
    </w:pPr>
    <w:rPr/>
  </w:style>
  <w:style w:type="paragraph" w:styleId="Style15">
    <w:name w:val="Список"/>
    <w:basedOn w:val="Style14"/>
    <w:rsid w:val="00be7613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>
    <w:name w:val="Заглавие"/>
    <w:basedOn w:val="Normal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rsid w:val="00be7613"/>
    <w:pPr>
      <w:suppressLineNumbers/>
    </w:pPr>
    <w:rPr>
      <w:rFonts w:cs="Mangal"/>
    </w:rPr>
  </w:style>
  <w:style w:type="paragraph" w:styleId="Style19" w:customStyle="1">
    <w:name w:val="Прижатый влево"/>
    <w:basedOn w:val="Normal"/>
    <w:uiPriority w:val="99"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0e7e"/>
    <w:pPr>
      <w:suppressAutoHyphens w:val="false"/>
      <w:spacing w:lineRule="auto" w:line="240" w:before="0" w:after="0"/>
      <w:ind w:left="720" w:hanging="0"/>
      <w:contextualSpacing/>
      <w:jc w:val="both"/>
    </w:pPr>
    <w:rPr>
      <w:rFonts w:eastAsia="Calibri" w:cs="Calibri" w:eastAsiaTheme="minorHAnsi"/>
      <w:color w:val="00000A"/>
      <w:lang w:eastAsia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image" Target="media/image2.emf"/><Relationship Id="rId5" Type="http://schemas.openxmlformats.org/officeDocument/2006/relationships/oleObject" Target="embeddings/oleObject2.bin"/><Relationship Id="rId6" Type="http://schemas.openxmlformats.org/officeDocument/2006/relationships/image" Target="media/image3.e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F0F5-2CF3-44F9-8C47-D8862C13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7485</TotalTime>
  <Application>LibreOffice/4.3.5.2$Windows_x86 LibreOffice_project/3a87456aaa6a95c63eea1c1b3201acedf0751bd5</Application>
  <Paragraphs>243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2016-03-28T04:02:00Z</cp:lastPrinted>
  <dcterms:modified xsi:type="dcterms:W3CDTF">2016-07-08T17:28:49Z</dcterms:modified>
  <cp:revision>52</cp:revision>
</cp:coreProperties>
</file>