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Приложение № 2</w:t>
      </w:r>
      <w:r/>
    </w:p>
    <w:p>
      <w:pPr>
        <w:pStyle w:val="Normal"/>
        <w:spacing w:lineRule="auto" w:line="240" w:before="0" w:after="0"/>
        <w:jc w:val="right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Информация о средней степени реализации мероприятий </w:t>
      </w:r>
      <w:r/>
    </w:p>
    <w:p>
      <w:pPr>
        <w:pStyle w:val="Normal"/>
        <w:spacing w:lineRule="auto" w:line="240" w:before="0" w:after="0"/>
        <w:jc w:val="center"/>
      </w:pPr>
      <w:r>
        <w:rPr>
          <w:rFonts w:cs="Times New Roman" w:ascii="Times New Roman" w:hAnsi="Times New Roman"/>
          <w:sz w:val="28"/>
          <w:szCs w:val="28"/>
        </w:rPr>
        <w:t xml:space="preserve">муниципальных программ </w:t>
      </w:r>
      <w:r>
        <w:rPr>
          <w:rFonts w:cs="Times New Roman" w:ascii="Times New Roman" w:hAnsi="Times New Roman"/>
          <w:sz w:val="28"/>
          <w:szCs w:val="28"/>
        </w:rPr>
        <w:t>Кавказского</w:t>
      </w:r>
      <w:r>
        <w:rPr>
          <w:rFonts w:cs="Times New Roman" w:ascii="Times New Roman" w:hAnsi="Times New Roman"/>
          <w:sz w:val="28"/>
          <w:szCs w:val="28"/>
        </w:rPr>
        <w:t xml:space="preserve"> сельского поселения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Кавказского района  за  2015 год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Style w:val="a3"/>
        <w:tblW w:w="10860" w:type="dxa"/>
        <w:jc w:val="left"/>
        <w:tblInd w:w="-743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5104"/>
        <w:gridCol w:w="2692"/>
        <w:gridCol w:w="1417"/>
        <w:gridCol w:w="1081"/>
      </w:tblGrid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муниципальной программы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мероприятий, предусмотренных в осн.мероприятиях и подпрограммах МП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Из них выполнено в полном объеме 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% реализации мероприятий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b/>
                <w:sz w:val="28"/>
                <w:b/>
                <w:szCs w:val="28"/>
                <w:bCs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ВСЕГО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91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9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1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100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%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2"/>
              <w:widowControl w:val="false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2"/>
              <w:spacing w:lineRule="auto" w:line="240" w:before="0" w:after="0"/>
              <w:jc w:val="both"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  <w:r/>
          </w:p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2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  <w:r/>
          </w:p>
        </w:tc>
        <w:tc>
          <w:tcPr>
            <w:tcW w:w="5104" w:type="dxa"/>
            <w:tcBorders/>
            <w:shd w:fill="auto" w:val="clear"/>
            <w:tcMar>
              <w:left w:w="108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  <w:r/>
          </w:p>
        </w:tc>
        <w:tc>
          <w:tcPr>
            <w:tcW w:w="269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4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08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  <w:r/>
          </w:p>
        </w:tc>
      </w:tr>
      <w:tr>
        <w:trPr/>
        <w:tc>
          <w:tcPr>
            <w:tcW w:w="566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/>
          </w:p>
        </w:tc>
        <w:tc>
          <w:tcPr>
            <w:tcW w:w="5104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2"/>
              <w:spacing w:lineRule="auto" w:line="240" w:before="0" w:after="0"/>
              <w:jc w:val="center"/>
              <w:rPr>
                <w:sz w:val="28"/>
                <w:sz w:val="28"/>
                <w:rFonts w:ascii="Times New Roman" w:hAnsi="Times New Roman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  <w:r/>
          </w:p>
        </w:tc>
        <w:tc>
          <w:tcPr>
            <w:tcW w:w="269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417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1081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  <w:r/>
          </w:p>
        </w:tc>
      </w:tr>
    </w:tbl>
    <w:p>
      <w:pPr>
        <w:pStyle w:val="ListParagraph"/>
        <w:spacing w:lineRule="auto" w:line="240" w:before="0" w:after="0"/>
        <w:ind w:left="-851" w:hanging="0"/>
        <w:contextualSpacing/>
        <w:jc w:val="both"/>
        <w:rPr/>
      </w:pPr>
      <w:r>
        <w:rPr/>
      </w:r>
      <w:r/>
    </w:p>
    <w:sectPr>
      <w:type w:val="nextPage"/>
      <w:pgSz w:w="11906" w:h="16838"/>
      <w:pgMar w:left="1418" w:right="850" w:header="0" w:top="426" w:footer="0" w:bottom="56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eastAsia="" w:cs="Times New Roman"/>
    </w:rPr>
  </w:style>
  <w:style w:type="character" w:styleId="ListLabel2">
    <w:name w:val="ListLabel 2"/>
    <w:rPr>
      <w:rFonts w:cs="Courier New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77a0d"/>
    <w:pPr>
      <w:spacing w:before="0" w:after="200"/>
      <w:ind w:left="720" w:hanging="0"/>
      <w:contextualSpacing/>
    </w:pPr>
    <w:rPr/>
  </w:style>
  <w:style w:type="paragraph" w:styleId="2">
    <w:name w:val="Оглавление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Application>LibreOffice/4.3.5.2$Windows_x86 LibreOffice_project/3a87456aaa6a95c63eea1c1b3201acedf0751bd5</Application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language>ru-RU</dc:language>
  <dcterms:modified xsi:type="dcterms:W3CDTF">2016-07-05T16:46:55Z</dcterms:modified>
  <cp:revision>46</cp:revision>
</cp:coreProperties>
</file>