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0"/>
        <w:gridCol w:w="1"/>
        <w:gridCol w:w="1081"/>
        <w:gridCol w:w="3"/>
        <w:gridCol w:w="1021"/>
        <w:gridCol w:w="116"/>
        <w:gridCol w:w="1225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 2018 год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91,5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91,5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91,5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91,4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99,9%</w:t>
            </w: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выполнено</w:t>
            </w: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91,5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91,5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91,5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91,4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99,9</w:t>
            </w:r>
            <w:r>
              <w:rPr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08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183,3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100%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183,3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183,3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183,3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183,3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274,8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274,8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274,8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274,8</w:t>
            </w:r>
          </w:p>
        </w:tc>
        <w:tc>
          <w:tcPr>
            <w:tcW w:w="10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100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 2018 год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7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8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4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5 </w:t>
            </w:r>
          </w:p>
        </w:tc>
        <w:tc>
          <w:tcPr>
            <w:tcW w:w="22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</w:t>
            </w:r>
            <w:r>
              <w:rPr>
                <w:b w:val="false"/>
                <w:bCs w:val="false"/>
                <w:color w:val="000000"/>
              </w:rPr>
              <w:t>% </w:t>
            </w:r>
          </w:p>
        </w:tc>
        <w:tc>
          <w:tcPr>
            <w:tcW w:w="13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/>
      <w:ind w:right="19772"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LibreOffice/5.2.2.2$Windows_x86 LibreOffice_project/8f96e87c890bf8fa77463cd4b640a2312823f3ad</Application>
  <Pages>4</Pages>
  <Words>371</Words>
  <Characters>2570</Characters>
  <CharactersWithSpaces>3261</CharactersWithSpaces>
  <Paragraphs>161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2018-12-21T16:30:26Z</cp:lastPrinted>
  <dcterms:modified xsi:type="dcterms:W3CDTF">2018-12-21T16:35:30Z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