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firstLine="698"/>
        <w:jc w:val="right"/>
        <w:rPr>
          <w:rStyle w:val="Style17"/>
          <w:rFonts w:ascii="Times New Roman" w:hAnsi="Times New Roman" w:cs="Times New Roman"/>
          <w:b w:val="false"/>
          <w:b w:val="false"/>
          <w:bCs/>
          <w:sz w:val="28"/>
          <w:szCs w:val="28"/>
        </w:rPr>
      </w:pPr>
      <w:r>
        <w:rPr>
          <w:rStyle w:val="Style17"/>
          <w:rFonts w:cs="Times New Roman" w:ascii="Times New Roman" w:hAnsi="Times New Roman"/>
          <w:b w:val="false"/>
          <w:bCs/>
          <w:sz w:val="28"/>
          <w:szCs w:val="28"/>
        </w:rPr>
        <w:t xml:space="preserve">Приложение </w:t>
      </w:r>
      <w:r>
        <w:rPr>
          <w:rFonts w:cs="Times New Roman" w:ascii="Times New Roman" w:hAnsi="Times New Roman"/>
          <w:sz w:val="28"/>
          <w:szCs w:val="28"/>
        </w:rPr>
        <w:t>№</w:t>
      </w:r>
      <w:r>
        <w:rPr>
          <w:rStyle w:val="Style17"/>
          <w:rFonts w:cs="Times New Roman" w:ascii="Times New Roman" w:hAnsi="Times New Roman"/>
          <w:b w:val="false"/>
          <w:bCs/>
          <w:sz w:val="28"/>
          <w:szCs w:val="28"/>
        </w:rPr>
        <w:t> 3</w:t>
      </w:r>
    </w:p>
    <w:p>
      <w:pPr>
        <w:pStyle w:val="Normal"/>
        <w:spacing w:lineRule="auto" w:line="240" w:before="0" w:after="0"/>
        <w:ind w:firstLine="698"/>
        <w:jc w:val="right"/>
        <w:rPr>
          <w:rStyle w:val="Style17"/>
          <w:rFonts w:ascii="Times New Roman" w:hAnsi="Times New Roman" w:cs="Times New Roman"/>
          <w:b w:val="false"/>
          <w:b w:val="false"/>
          <w:bCs/>
          <w:sz w:val="28"/>
          <w:szCs w:val="28"/>
        </w:rPr>
      </w:pPr>
      <w:r>
        <w:rPr>
          <w:rStyle w:val="Style17"/>
          <w:rFonts w:cs="Times New Roman" w:ascii="Times New Roman" w:hAnsi="Times New Roman"/>
          <w:b w:val="false"/>
          <w:bCs/>
          <w:sz w:val="28"/>
          <w:szCs w:val="28"/>
        </w:rPr>
        <w:t xml:space="preserve">к учетной политике администрации </w:t>
      </w:r>
    </w:p>
    <w:p>
      <w:pPr>
        <w:pStyle w:val="Normal"/>
        <w:spacing w:lineRule="auto" w:line="240" w:before="0" w:after="0"/>
        <w:ind w:firstLine="698"/>
        <w:jc w:val="right"/>
        <w:rPr>
          <w:rStyle w:val="Style17"/>
          <w:rFonts w:ascii="Times New Roman" w:hAnsi="Times New Roman" w:cs="Times New Roman"/>
          <w:b w:val="false"/>
          <w:b w:val="false"/>
          <w:bCs/>
          <w:sz w:val="28"/>
          <w:szCs w:val="28"/>
        </w:rPr>
      </w:pPr>
      <w:r>
        <w:rPr>
          <w:rStyle w:val="Style17"/>
          <w:rFonts w:cs="Times New Roman" w:ascii="Times New Roman" w:hAnsi="Times New Roman"/>
          <w:b w:val="false"/>
          <w:bCs/>
          <w:sz w:val="28"/>
          <w:szCs w:val="28"/>
        </w:rPr>
        <w:t xml:space="preserve">Кавказского сельского поселения </w:t>
      </w:r>
    </w:p>
    <w:p>
      <w:pPr>
        <w:pStyle w:val="Normal"/>
        <w:spacing w:lineRule="auto" w:line="240" w:before="0" w:after="0"/>
        <w:ind w:firstLine="698"/>
        <w:jc w:val="right"/>
        <w:rPr>
          <w:rFonts w:ascii="Times New Roman" w:hAnsi="Times New Roman" w:cs="Times New Roman"/>
          <w:b/>
          <w:b/>
          <w:sz w:val="28"/>
          <w:szCs w:val="28"/>
        </w:rPr>
      </w:pPr>
      <w:r>
        <w:rPr>
          <w:rStyle w:val="Style17"/>
          <w:rFonts w:cs="Times New Roman" w:ascii="Times New Roman" w:hAnsi="Times New Roman"/>
          <w:b w:val="false"/>
          <w:bCs/>
          <w:sz w:val="28"/>
          <w:szCs w:val="28"/>
        </w:rPr>
        <w:t>Кавказского района</w:t>
      </w:r>
      <w:bookmarkStart w:id="0" w:name="sub_1000"/>
      <w:bookmarkEnd w:id="0"/>
    </w:p>
    <w:p>
      <w:pPr>
        <w:pStyle w:val="Normal"/>
        <w:spacing w:lineRule="auto" w:line="240"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ПОЛОЖЕНИЕ</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о порядке проведения инвентаризации финансовых активов,</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обязательств и иных объектов бухгалтерского учета,</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не относящихся к нефинансовым активам</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 xml:space="preserve"> </w:t>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t>1. Общие положения</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tabs>
          <w:tab w:val="clear" w:pos="708"/>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  Настоящее положение разработано в целях непосредственного или косвенного подтверждения информации о финансовых активах, обязательствах и иных объектах бухгалтерского учета, не относящихся к нефинансовым активам и обеспечения достоверности данных бухгалтерского учета и бухгалтерской (финансовой) отчетности (далее – положение).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Положение устанавливает порядок создания, задачи и функции постоянно действующей инвентаризационной комиссии, основания, сроки, периодичность, порядок проведения инвентаризации финансовых активов, обязательств и иных объектов бухгалтерского учета, не относящихся к нефинансовым активам (далее – инвентаризация активов, обязательств и иных объектов бухгалтерского учета), перечень активов, обязательств и иных объектов бухгалтерского учета, подлежащих инвентаризации, порядок проведения инвентаризации при смене материально ответственных лиц (далее – МОЛ), порядок документального оформления результатов инвентаризации активов, обязательств и иных объектов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 Для проведения инвентаризации активов, обязательств и иных объектов бухгалтерского учета, а также при смене МОЛ, создается постоянно действующая инвентаризационная комиссия.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 Инвентаризация активов, обязательств и иных объектов бухгалтерского учета проводится в каждом из следующих случаев: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 целях составления квартальной и годовой бухгалтерской отчетности;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при установлении фактов хищений или злоупотреблений, а также порчи имущества;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 в случае стихийного бедствия, пожара, аварии или других чрезвычайных ситуаций, в том числе вызванных экстремальными условиями;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при смене МОЛ (на день приемки-передачи дел);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при передаче (возврате) активов в аренду, управление, безвозмездное пользование;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 в случаях, предусмотренных законодательством Российской Федерации, иными нормативными правовыми актами.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 Инвентаризация активов, обязательств и иных объектов бухгалтерского учета проводится на основании и в соответствии с действующими нормативными правовыми актами и методическими рекомендациями: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Федеральным законом от 6 декабря 2011 года № 402-ФЗ «О бухгалтерском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 приказом Министерства финансов Российской Федерации от 13 июня 1995 года № 49 «Об утверждении методических </w:t>
      </w:r>
      <w:hyperlink r:id="rId2">
        <w:r>
          <w:rPr>
            <w:rFonts w:cs="Times New Roman" w:ascii="Times New Roman" w:hAnsi="Times New Roman"/>
            <w:sz w:val="28"/>
            <w:szCs w:val="28"/>
          </w:rPr>
          <w:t>указаний</w:t>
        </w:r>
      </w:hyperlink>
      <w:r>
        <w:rPr>
          <w:rFonts w:cs="Times New Roman" w:ascii="Times New Roman" w:hAnsi="Times New Roman"/>
          <w:sz w:val="28"/>
          <w:szCs w:val="28"/>
        </w:rPr>
        <w:t xml:space="preserve"> по инвентаризации имущества и финансовых обязательств»;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 приказом Министерства финансов Российской Федерации от 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приказ № 157н);</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приказом Министерства финансов Российской Федерации от 6 декабря 2010 года № 162н «Об утверждении Плана счетов бюджетного учета и Инструкции по его применению»;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 приказом Министерства финансов Российской Федерации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6) приказом Министерства финансов Российской Федерации от 31 декабря 2016 года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7) приказом Министерства финансов Российской Федерации от 31 декабря 2016 года № 258н «Об утверждении федерального стандарта бухгалтерского учета для организаций государственного сектора «Аренда»;</w:t>
      </w:r>
    </w:p>
    <w:p>
      <w:pPr>
        <w:pStyle w:val="ConsPlusNormal"/>
        <w:ind w:firstLine="709"/>
        <w:jc w:val="both"/>
        <w:rPr>
          <w:rFonts w:ascii="Times New Roman" w:hAnsi="Times New Roman" w:eastAsia="Calibri" w:cs="Times New Roman" w:eastAsiaTheme="minorHAnsi"/>
          <w:sz w:val="28"/>
          <w:szCs w:val="28"/>
          <w:lang w:eastAsia="en-US"/>
        </w:rPr>
      </w:pPr>
      <w:r>
        <w:rPr>
          <w:rFonts w:eastAsia="Calibri" w:cs="Times New Roman" w:ascii="Times New Roman" w:hAnsi="Times New Roman" w:eastAsiaTheme="minorHAnsi"/>
          <w:sz w:val="28"/>
          <w:szCs w:val="28"/>
          <w:lang w:eastAsia="en-US"/>
        </w:rPr>
        <w:t xml:space="preserve">8) настоящим положением и иными нормативными правовыми актами, регламентирующими порядок проведения инвентаризации </w:t>
      </w:r>
      <w:r>
        <w:rPr>
          <w:rFonts w:cs="Times New Roman" w:ascii="Times New Roman" w:hAnsi="Times New Roman"/>
          <w:sz w:val="28"/>
          <w:szCs w:val="28"/>
        </w:rPr>
        <w:t>активов, обязательств и иных объектов бухгалтерского учета</w:t>
      </w:r>
      <w:r>
        <w:rPr>
          <w:rFonts w:eastAsia="Calibri" w:cs="Times New Roman" w:ascii="Times New Roman" w:hAnsi="Times New Roman" w:eastAsiaTheme="minorHAnsi"/>
          <w:sz w:val="28"/>
          <w:szCs w:val="28"/>
          <w:lang w:eastAsia="en-US"/>
        </w:rPr>
        <w:t>.</w:t>
      </w:r>
    </w:p>
    <w:p>
      <w:pPr>
        <w:pStyle w:val="ConsPlusNormal"/>
        <w:ind w:firstLine="709"/>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p>
      <w:pPr>
        <w:pStyle w:val="ConsPlusNormal"/>
        <w:ind w:firstLine="709"/>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t>2. Порядок создания, задачи и функции постоянно действующей</w:t>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t>инвентаризационной комиссии</w:t>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2.1. Постоянно действующая инвентаризационная комиссия (далее - инвентаризационная комиссия) создается для проведения инвентаризации активов, обязательств и иных объектов бухгалтерского учета с целью: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подтверждения фактического наличия и выявления неучтенных активов, обязательств и иных объектов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сопоставления фактического наличия активов, обязательств и иных объектов бухгалтерского учета, первичных учетных документов, являющихся основанием признания в бухгалтерском учете с данными регистров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отражения в инвентаризационных описях в полном объеме данных о фактических остатках активов, обязательств и иных объектов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обобщения итогов инвентаризации активов, обязательств и иных объектов бухгалтерского учета в виде акта инвентаризации;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своевременности оформления инвентаризационных описей, ведомостей расхождений по результатам инвентаризации (при наличии), акта инвентаризации.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2.2. Инвентаризационная комиссия является коллегиальным органом, действующим на постоянной основе, состоит из председателя, заместителя председателя, секретаря и членов инвентаризационной комиссии, которые являются работниками администрации Кавказского сельского поселения Кавказского района.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Председатель инвентаризационной комиссии осуществляет общее руководство деятельностью инвентаризационной комиссии, обеспечивает коллегиальность в обсуждении спорных вопросов, распределяет обязанности и дает поручения членам инвентаризационной комиссии. В случае временного отсутствия председателя инвентаризационной комиссии, его обязанности возлагаются на заместителя председателя инвентаризационной комиссии.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Секретарь инвентаризационной комиссии выполняет организационное сопровождение деятельности инвентаризационной комиссии, в том числе: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ежегодно подготавливает распоряжение об утверждении графика проведения инвентаризаций активов, обязательств и иных объектов бухгалтерского учета в очередном финансовом году;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уведомляет членов инвентаризационной комиссии о дате, месте и времени проведения инвентаризации активов, обязательств и иных объектов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оформляет документы о результатах инвентаризации активов, обязательств и иных объектов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представляет оформленные документы председателю (заместителю председателя) инвентаризационной комиссии и членам инвентаризационной комиссии для рассмотрения и согласования;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выполняет по поручению председателя инвентаризационной комиссии иные необходимые организационные мероприятия, обеспечивающие деятельность инвентаризационной комиссии.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временного отсутствия секретаря инвентаризационной комиссии его обязанности возлагаются председателем инвентаризационной комиссии на другого члена инвентаризационной комиссии.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2.3. МОЛ не входят в состав инвентаризационной комиссии, но обязаны присутствовать при инвентаризации активов, обязательств и иных объектов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Исключением являются члены инвентаризационной комиссии, являющиеся МОЛ, которые на момент проведения инвентаризации, не исполняют обязанности по временному замещению должностного лица ответственного за ведение операций по движению бланков строгой отчетности.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2.4. Персональный состав инвентаризационной комиссии утверждается распоряжением администрации Кавказского сельского поселения Кавказского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2.5. Количественный состав инвентаризационной комиссии определяется председателем (заместителем председателя) инвентаризационной комиссии в рабочем порядке, с учетом случаев нахождения членов инвентаризационной комиссии в командировке, отпуске, по причине временной нетрудоспособности и не может быть менее: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 пяти человек – при проведении внеплановых и ежегодных инвентаризаций активов, обязательств и иных объектов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б) трех человек – при проведении квартальной инвентаризации активов, обязательств и иных объектов бухгалтерского учета, а также инвентаризаций при смене МОЛ.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Несоблюдение количественного состава инвентаризационной комиссии служит основанием для признания результатов инвентаризации недействительными.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2.6. Финансовый отдел администрации Кавказского сельского поселения Кавказского района взаимодействует с инвентаризационной комиссией в части предоставления информации, необходимой для проведения инвентаризации активов, обязательств и иных объектов бухгалтерского учета, содержащейся в регистрах бухгалтерского учета.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2.7. Инвентаризационная комиссия обобщает результаты инвентаризации активов, обязательств и иных объектов бухгалтерского учета и представляет их главе Кавказского сельского поселения Кавказского района.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2.8. Время рассмотрения материалов инвентаризации активов, обязательств и иных объектов бухгалтерского учета составляет не более 10 рабочих дней после ее окончания.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t>3. Порядок проведения инвентаризации активов,</w:t>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t>обязательств и иных объектов бухгалтерского учета.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 Годовая и квартальные инвентаризации активов, обязательств и иных объектов бухгалтерского учета проводятся в сроки, установленные распоряжением администрации  Кавказского сельского поселения Кавказского района об утверждении графика проведения инвентаризаций активов, обязательств и иных объектов бухгалтерского учета в очередном финансовом году.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 Внеплановая инвентаризация при смене МОЛ и иные внеплановые инвентаризации активов, обязательств и иных объектов бухгалтерского учета, проводятся  на основании распоряжения администрации  Кавказского сельского поселения Кавказского района, которым устанавливаются: основание внеплановой инвентаризации, сроки проведения, перечень активов, обязательств и иных объектов бухгалтерского учета, подлежащих инвентаризации.</w:t>
      </w:r>
    </w:p>
    <w:p>
      <w:pPr>
        <w:pStyle w:val="ConsPlusNormal"/>
        <w:ind w:firstLine="709"/>
        <w:jc w:val="both"/>
        <w:rPr>
          <w:rFonts w:ascii="Times New Roman" w:hAnsi="Times New Roman" w:eastAsia="Calibri" w:cs="Times New Roman" w:eastAsiaTheme="minorHAnsi"/>
          <w:sz w:val="28"/>
          <w:szCs w:val="28"/>
          <w:lang w:eastAsia="en-US"/>
        </w:rPr>
      </w:pPr>
      <w:r>
        <w:rPr>
          <w:rFonts w:eastAsia="Calibri" w:cs="Times New Roman" w:ascii="Times New Roman" w:hAnsi="Times New Roman" w:eastAsiaTheme="minorHAnsi"/>
          <w:sz w:val="28"/>
          <w:szCs w:val="28"/>
          <w:lang w:eastAsia="en-US"/>
        </w:rPr>
        <w:t>3.3. В полном объеме инвентаризация активов, обязательств и иных объектов бухгалтерского учета проводится ежегодно в целях составления годовой бухгалтерской отчетности.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Частичные инвентаризации активов, обязательств и иных объектов бухгалтерского учета проводятся ежеквартально, а также при смене МОЛ.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3.4. Перечень активов, обязательств и иных объектов бухгалтерского учета, подлежащих ежегодной инвентаризации в целях составления годовой бухгалтерской отчетности: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балансовые счета: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020100000 – «Денежные средства учреждения»;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020500000 – «Расчеты по доходам»;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020600000 – «Расчеты по выданным авансам»;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020700000 – «Расчеты по кредитам, займам (ссудам)»;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020800000 – «Расчеты с подотчетными лицами»;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020900000 – «Расчеты по ущербу и иным доходам»;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030100000 – «Расчеты с кредиторами по долговым обязательствам»;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030200000 – «Расчеты по принятым обязательствам»;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030300000 – «Расчеты по платежам в бюджеты»;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030400000 – «Прочие расчеты с кредиторами» (за исключением 030405000 «Расчеты по платежам из бюджета с финансовым органом»);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040140000 – «Доходы будущих периодов»;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040150000 – «Расходы будущих периодов»;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040160000 – «Резервы предстоящих расходов»;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забалансовые счета: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 – «Бланки строгой отчетности»;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04 – «Задолженность неплатежеспособных дебиторов»;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10 – «Обеспечение исполнения обязательств»;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19 – «Невыясненные поступления бюджета прошлых лет».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3.5. Перечень активов, обязательств и иных объектов бухгалтерского учета, подлежащих квартальной инвентаризации в целях составления квартальной бухгалтерской отчетности: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балансовые счета: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020500000 – «Расчеты по доходам»;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020600000 – «Расчеты по выданным авансам»;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020800000 – «Расчеты с подотчетными лицами»;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020900000 – «Расчеты по ущербу и иным доходам»;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030200000 – «Расчеты по принятым обязательствам»;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030300000 – «Расчеты по платежам в бюджеты»;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030400000 – «Прочие расчеты с кредиторами» (за исключением 030405000 «Расчеты по платежам из бюджета с финансовым органом»).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3.6. Перечень активов, обязательств и иных объектов бухгалтерского учета, подлежащих  внеплановой инвентаризации при смене МОЛ: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забалансовые счета: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03 – «Бланки строгой отчетности».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3.7. При проведении ежегодной инвентаризации активов, обязательств и иных объектов бухгалтерского учета осуществляется сверка данных бухгалтерского учета с фактическими данными первичных учетных документов, проверка правильности и обоснованности сложившейся задолженности, остатки которой подтверждаются: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по балансовому счету 020100000 – «Денежные средства учреждения»: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 по денежным средствам на лицевых счетах учреждения в органе казначейства – сведения об остатках денежных средств на счетах получателя бюджетных средств (форма 0503178) и (или) иными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б) по денежным средствам учреждения в кредитной организации – выпиской по счету, выданной кредитной организацией и (или) иными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 по балансовому счету 020500000 – «Расчеты по доходам»: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а) по межбюджетным трансфертам – копиями </w:t>
      </w:r>
      <w:r>
        <w:rPr>
          <w:rFonts w:cs="Times New Roman" w:ascii="Times New Roman" w:hAnsi="Times New Roman"/>
          <w:spacing w:val="-1"/>
          <w:sz w:val="28"/>
          <w:szCs w:val="28"/>
        </w:rPr>
        <w:t xml:space="preserve">Уведомлений по расчетам между бюджетами (ф. 0504817) и (или) актами сверок, согласованными с контрагентами, </w:t>
      </w:r>
      <w:r>
        <w:rPr>
          <w:rFonts w:cs="Times New Roman" w:ascii="Times New Roman" w:hAnsi="Times New Roman"/>
          <w:sz w:val="28"/>
          <w:szCs w:val="28"/>
        </w:rPr>
        <w:t>и (или) иными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б) по невыясненным поступлениям – копиями платежных поручений, прилагаемых к выписке из лицевого счета администратора доходов бюджета, и актом сверки по лицевому счету, согласованным с Управлением Федерального казначейства по Краснодарскому краю, и (или) иными первичными учетными документами, являющимися основанием для отражения в учете;</w:t>
      </w:r>
    </w:p>
    <w:p>
      <w:pPr>
        <w:pStyle w:val="ConsPlusNonformat"/>
        <w:ind w:firstLine="709"/>
        <w:jc w:val="both"/>
        <w:rPr>
          <w:rFonts w:ascii="Times New Roman" w:hAnsi="Times New Roman" w:cs="Times New Roman"/>
          <w:sz w:val="28"/>
          <w:szCs w:val="28"/>
        </w:rPr>
      </w:pPr>
      <w:r>
        <w:rPr>
          <w:rFonts w:eastAsia="Times New Roman" w:cs="Times New Roman" w:ascii="Times New Roman" w:hAnsi="Times New Roman"/>
          <w:sz w:val="28"/>
          <w:szCs w:val="28"/>
        </w:rPr>
        <w:t>3) </w:t>
      </w:r>
      <w:r>
        <w:rPr>
          <w:rFonts w:cs="Times New Roman" w:ascii="Times New Roman" w:hAnsi="Times New Roman"/>
          <w:sz w:val="28"/>
          <w:szCs w:val="28"/>
        </w:rPr>
        <w:t>по балансовому счету 020600000 – «Расчеты по выданным авансам»:</w:t>
      </w:r>
    </w:p>
    <w:p>
      <w:pPr>
        <w:pStyle w:val="ConsPlusNonformat"/>
        <w:ind w:firstLine="709"/>
        <w:jc w:val="both"/>
        <w:rPr>
          <w:rFonts w:ascii="Times New Roman" w:hAnsi="Times New Roman" w:cs="Times New Roman"/>
          <w:sz w:val="28"/>
          <w:szCs w:val="28"/>
        </w:rPr>
      </w:pPr>
      <w:r>
        <w:rPr>
          <w:rFonts w:cs="Times New Roman" w:ascii="Times New Roman" w:hAnsi="Times New Roman"/>
          <w:sz w:val="28"/>
          <w:szCs w:val="28"/>
        </w:rPr>
        <w:t>а) по расчетам по авансам по прочим работам и услугам, а  также по авансам по прочим расходам – актами сверок, согласованными с контрагентами, и (или) иными первичными учетными документами, являющимися основанием для отражения в учете;</w:t>
      </w:r>
    </w:p>
    <w:p>
      <w:pPr>
        <w:pStyle w:val="ConsPlusNonformat"/>
        <w:ind w:firstLine="709"/>
        <w:jc w:val="both"/>
        <w:rPr>
          <w:rFonts w:ascii="Times New Roman" w:hAnsi="Times New Roman" w:cs="Times New Roman"/>
          <w:sz w:val="28"/>
          <w:szCs w:val="28"/>
        </w:rPr>
      </w:pPr>
      <w:r>
        <w:rPr>
          <w:rFonts w:cs="Times New Roman" w:ascii="Times New Roman" w:hAnsi="Times New Roman"/>
          <w:sz w:val="28"/>
          <w:szCs w:val="28"/>
        </w:rPr>
        <w:t>б) по расчетам по авансовым перечислениям другим бюджетам бюджетной системы Российской Федерации – отчетами об использовании субсидий (субвенций, иных межбюджетных трансфертов), и (или) иными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4) по балансовому счету 020700000 – «Расчеты по кредитам, займам (ссудам)», 030100000 – «Расчеты с кредиторами по долговым обязательствам»: актами сверок (копиями актов сверок), согласованными с заемщиками и кредиторами и (или) иными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5) по балансовому счету 020800000 – «Расчеты с подотчетными лицами»: </w:t>
      </w:r>
      <w:r>
        <w:rPr>
          <w:rFonts w:eastAsia="Times New Roman" w:cs="Times New Roman" w:ascii="Times New Roman" w:hAnsi="Times New Roman"/>
          <w:sz w:val="28"/>
          <w:szCs w:val="28"/>
        </w:rPr>
        <w:t xml:space="preserve">утвержденными авансовыми отчетами по произведенным расходам, платежными поручениями и расходными кассовыми ордерами на суммы, выданные (перечисленные) под отчет, </w:t>
      </w:r>
      <w:r>
        <w:rPr>
          <w:rFonts w:cs="Times New Roman" w:ascii="Times New Roman" w:hAnsi="Times New Roman"/>
          <w:sz w:val="28"/>
          <w:szCs w:val="28"/>
        </w:rPr>
        <w:t>и (или) иными первичными учетными документами, являющимися основанием для отражения в учете</w:t>
      </w:r>
      <w:r>
        <w:rPr>
          <w:rFonts w:eastAsia="Times New Roman" w:cs="Times New Roman" w:ascii="Times New Roman" w:hAnsi="Times New Roman"/>
          <w:sz w:val="28"/>
          <w:szCs w:val="28"/>
        </w:rPr>
        <w:t>;</w:t>
      </w:r>
    </w:p>
    <w:p>
      <w:pPr>
        <w:pStyle w:val="ConsPlusNonformat"/>
        <w:ind w:firstLine="709"/>
        <w:jc w:val="both"/>
        <w:rPr>
          <w:rFonts w:ascii="Times New Roman" w:hAnsi="Times New Roman" w:eastAsia="Times New Roman" w:cs="Times New Roman"/>
          <w:sz w:val="28"/>
          <w:szCs w:val="28"/>
        </w:rPr>
      </w:pPr>
      <w:r>
        <w:rPr>
          <w:rFonts w:cs="Times New Roman" w:ascii="Times New Roman" w:hAnsi="Times New Roman"/>
          <w:sz w:val="28"/>
          <w:szCs w:val="28"/>
        </w:rPr>
        <w:t>6) по балансовому счету 020900000 – «Расчеты по ущербу и иным доходам»:</w:t>
      </w:r>
      <w:r>
        <w:rPr>
          <w:rFonts w:eastAsia="Times New Roman" w:cs="Times New Roman" w:ascii="Times New Roman" w:hAnsi="Times New Roman"/>
          <w:sz w:val="28"/>
          <w:szCs w:val="28"/>
        </w:rPr>
        <w:t xml:space="preserve"> </w:t>
      </w:r>
    </w:p>
    <w:p>
      <w:pPr>
        <w:pStyle w:val="ConsPlusNonformat"/>
        <w:ind w:firstLine="709"/>
        <w:jc w:val="both"/>
        <w:rPr>
          <w:rFonts w:ascii="Times New Roman" w:hAnsi="Times New Roman" w:eastAsia="Calibri" w:cs="Times New Roman" w:eastAsiaTheme="minorHAnsi"/>
          <w:sz w:val="28"/>
          <w:szCs w:val="28"/>
          <w:lang w:eastAsia="en-US"/>
        </w:rPr>
      </w:pPr>
      <w:r>
        <w:rPr>
          <w:rFonts w:eastAsia="Times New Roman" w:cs="Times New Roman" w:ascii="Times New Roman" w:hAnsi="Times New Roman"/>
          <w:sz w:val="28"/>
          <w:szCs w:val="28"/>
        </w:rPr>
        <w:t xml:space="preserve">а) по расчетам по компенсации затрат – </w:t>
      </w:r>
      <w:r>
        <w:rPr>
          <w:rFonts w:eastAsia="Calibri" w:cs="Times New Roman" w:ascii="Times New Roman" w:hAnsi="Times New Roman" w:eastAsiaTheme="minorHAnsi"/>
          <w:sz w:val="28"/>
          <w:szCs w:val="28"/>
          <w:lang w:eastAsia="en-US"/>
        </w:rPr>
        <w:t xml:space="preserve">копиями служебных записок соответствующих структурных подразделений </w:t>
      </w:r>
      <w:r>
        <w:rPr>
          <w:rFonts w:cs="Times New Roman" w:ascii="Times New Roman" w:hAnsi="Times New Roman"/>
          <w:sz w:val="28"/>
          <w:szCs w:val="28"/>
        </w:rPr>
        <w:t>и (или) иными первичными учетными документами, являющимися основанием для отражения в учете</w:t>
      </w:r>
      <w:r>
        <w:rPr>
          <w:rFonts w:eastAsia="Calibri" w:cs="Times New Roman" w:ascii="Times New Roman" w:hAnsi="Times New Roman" w:eastAsiaTheme="minorHAnsi"/>
          <w:sz w:val="28"/>
          <w:szCs w:val="28"/>
          <w:lang w:eastAsia="en-US"/>
        </w:rPr>
        <w:t>;</w:t>
      </w:r>
    </w:p>
    <w:p>
      <w:pPr>
        <w:pStyle w:val="ConsPlusNonformat"/>
        <w:ind w:firstLine="709"/>
        <w:jc w:val="both"/>
        <w:rPr>
          <w:rFonts w:ascii="Times New Roman" w:hAnsi="Times New Roman" w:eastAsia="Calibri" w:cs="Times New Roman" w:eastAsiaTheme="minorHAnsi"/>
          <w:sz w:val="28"/>
          <w:szCs w:val="28"/>
          <w:lang w:eastAsia="en-US"/>
        </w:rPr>
      </w:pPr>
      <w:r>
        <w:rPr>
          <w:rFonts w:eastAsia="Calibri" w:cs="Times New Roman" w:ascii="Times New Roman" w:hAnsi="Times New Roman" w:eastAsiaTheme="minorHAnsi"/>
          <w:sz w:val="28"/>
          <w:szCs w:val="28"/>
          <w:lang w:eastAsia="en-US"/>
        </w:rPr>
        <w:t xml:space="preserve">б) по расчетам по суммам принудительного изъятия – </w:t>
      </w:r>
      <w:r>
        <w:rPr>
          <w:rFonts w:cs="Times New Roman" w:ascii="Times New Roman" w:hAnsi="Times New Roman"/>
          <w:sz w:val="28"/>
          <w:szCs w:val="28"/>
        </w:rPr>
        <w:t xml:space="preserve">при неисполнении условий договора (контракта, соглашения) на поставку товара (выполнение работ, оказание услуг), </w:t>
      </w:r>
      <w:r>
        <w:rPr>
          <w:rFonts w:eastAsia="Calibri" w:cs="Times New Roman" w:ascii="Times New Roman" w:hAnsi="Times New Roman" w:eastAsiaTheme="minorHAnsi"/>
          <w:sz w:val="28"/>
          <w:szCs w:val="28"/>
          <w:lang w:eastAsia="en-US"/>
        </w:rPr>
        <w:t xml:space="preserve">копиями судебных актов, являющихся основанием для начисления поступивших доходов, </w:t>
      </w:r>
      <w:r>
        <w:rPr>
          <w:rFonts w:cs="Times New Roman" w:ascii="Times New Roman" w:hAnsi="Times New Roman"/>
          <w:sz w:val="28"/>
          <w:szCs w:val="28"/>
        </w:rPr>
        <w:t>и (или) иными первичными учетными документами, являющимися основанием для отражения в учете</w:t>
      </w:r>
      <w:r>
        <w:rPr>
          <w:rFonts w:eastAsia="Calibri" w:cs="Times New Roman" w:ascii="Times New Roman" w:hAnsi="Times New Roman" w:eastAsiaTheme="minorHAnsi"/>
          <w:sz w:val="28"/>
          <w:szCs w:val="28"/>
          <w:lang w:eastAsia="en-US"/>
        </w:rPr>
        <w:t xml:space="preserve">; </w:t>
      </w:r>
    </w:p>
    <w:p>
      <w:pPr>
        <w:pStyle w:val="ConsPlusNonformat"/>
        <w:ind w:firstLine="709"/>
        <w:jc w:val="both"/>
        <w:rPr>
          <w:rFonts w:ascii="Times New Roman" w:hAnsi="Times New Roman" w:cs="Times New Roman"/>
          <w:sz w:val="28"/>
          <w:szCs w:val="28"/>
        </w:rPr>
      </w:pPr>
      <w:r>
        <w:rPr>
          <w:rFonts w:eastAsia="Times New Roman" w:cs="Times New Roman" w:ascii="Times New Roman" w:hAnsi="Times New Roman"/>
          <w:sz w:val="28"/>
          <w:szCs w:val="28"/>
        </w:rPr>
        <w:t>7) </w:t>
      </w:r>
      <w:r>
        <w:rPr>
          <w:rFonts w:cs="Times New Roman" w:ascii="Times New Roman" w:hAnsi="Times New Roman"/>
          <w:sz w:val="28"/>
          <w:szCs w:val="28"/>
        </w:rPr>
        <w:t>по балансовому счету 030200000 – «Расчеты по принятым обязательствам»:</w:t>
      </w:r>
    </w:p>
    <w:p>
      <w:pPr>
        <w:pStyle w:val="ConsPlusNonformat"/>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а) по расчетам по оплате труда и начислениям на выплаты по оплате труда – расчетной ведомостью (ф. 0504402), карточкой – справкой (ф. 0504417),</w:t>
      </w:r>
      <w:r>
        <w:rPr>
          <w:rFonts w:cs="Times New Roman" w:ascii="Times New Roman" w:hAnsi="Times New Roman"/>
          <w:sz w:val="28"/>
          <w:szCs w:val="28"/>
        </w:rPr>
        <w:t xml:space="preserve"> и (или) иными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б) по расчетам с поставщиками и подрядчиками, по прочим расходам – актами сверок, согласованными с контрагентами, и (или) иными первичными учетными документами, являющимися основанием для отражения в учете. При этом по расчетам по арендной плате за пользование имуществом, остаток кредиторской задолженности на отчетную дату определяется как разность между кредитовым остатком балансового счета 030224000 «Расчеты по арендной плате за пользование имуществом» и остаточной стоимостью права пользования активом (разность между дебетовым остатком балансового счета 011140000 «Права пользования нефинансовыми активами» и кредитовым остатком балансового счета 010440000 «Амортизация прав пользования нефинансовыми активами»);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8) по балансовому счету 030300000 – «Расчеты по платежам в бюджеты»:</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а) по расчетам по страховым взносам на обязательное социальное страхование на случай временной нетрудоспособности и в связи с материнством –копиями согласованных актов сверок, и (или) справок о состоянии расчетов по налогам, сборам, страховым взносам, пеням и штрафам, копиями выписок операций по расчетам с бюджетом, полученных в рамках электронного документооборота по телекоммуникационным каналам связи из межрайонной ИФНС России № 5 по Краснодарскому краю, копиями расчетов по начисленным и уплаченным страховым взносам, и (или) иными первичными учетными документами, являющимися основанием для отражения в учете;</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б) по расчетам по прочим платежам в бюджеты, по расчетам по налогу на имущество организаций – копиями согласованных актов сверок, деклараций (расчетов) по налогам, плате за негативное воздействие на окружающую среду, информацией о внесении денежных средств по плате за негативное воздействие на окружающую среду в доход бюджета бюджетной системы Российской Федерации, и (или) иными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9) по балансовому счету 030400000 – «Прочие расчеты с кредиторами»: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10) по балансовому счету 040140000 – «Доходы будущих периодов»: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 по балансовому счету 040150000 – «Расходы будущих периодов»: данными расчетов по суммам, подлежащим отражению на счетах расходов будущих периодов и (или) иными первичными учетными документами,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12) по балансовому счету 040160000 – «Резервы предстоящих расходов»: </w:t>
      </w:r>
      <w:r>
        <w:rPr>
          <w:rFonts w:cs="Times New Roman" w:ascii="Times New Roman" w:hAnsi="Times New Roman"/>
          <w:bCs/>
          <w:color w:val="000000"/>
          <w:sz w:val="28"/>
          <w:szCs w:val="28"/>
        </w:rPr>
        <w:t xml:space="preserve">заключениями о формировании сумм резервов предстоящих расходов и заключениями на корректировку сумм ранее сформированных резервов, </w:t>
      </w:r>
      <w:r>
        <w:rPr>
          <w:rFonts w:cs="Times New Roman" w:ascii="Times New Roman" w:hAnsi="Times New Roman"/>
          <w:sz w:val="28"/>
          <w:szCs w:val="28"/>
        </w:rPr>
        <w:t>данными расчетов по суммам, подлежащим отражению на счетах резервов предстоящих расходов и (или) иными первичными учетными документами, являющимися основанием для отражения в учете</w:t>
      </w:r>
      <w:r>
        <w:rPr>
          <w:rFonts w:cs="Times New Roman" w:ascii="Times New Roman" w:hAnsi="Times New Roman"/>
          <w:bCs/>
          <w:color w:val="000000"/>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 по забалансовому счету 03 – «Бланки строгой отчетности»: данными, содержащимися в книге по учету бланков строгой отчетности и фактическим наличием;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14) по забалансовому счету </w:t>
      </w:r>
      <w:r>
        <w:rPr>
          <w:rFonts w:cs="Times New Roman" w:ascii="Times New Roman" w:hAnsi="Times New Roman"/>
          <w:bCs/>
          <w:color w:val="000000"/>
          <w:sz w:val="28"/>
          <w:szCs w:val="28"/>
        </w:rPr>
        <w:t xml:space="preserve">04 – «Задолженность неплатежеспособных </w:t>
      </w:r>
      <w:r>
        <w:rPr>
          <w:rFonts w:cs="Times New Roman" w:ascii="Times New Roman" w:hAnsi="Times New Roman"/>
          <w:sz w:val="28"/>
          <w:szCs w:val="28"/>
        </w:rPr>
        <w:t>дебиторов»: распоряжениями администрации Кавказского сельского поселения о списании долга, актами о признании (отказе в признании) безнадежной к взысканию задолженности по платежам в бюджет;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15) по забалансовым счетам 10 – «Обеспечение исполнения обязательств», 19 – «Невыясненные поступления бюджета прошлых лет»: актами сверок, согласованными с заемщиками или контрагентами, и (или) копиями первичных учетных документов, являющимися основанием для отражения в учете.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3.8. При проведении квартальной инвентаризации активов, обязательств и иных объектов бухгалтерского учета осуществляется сверка данных бухгалтерского учета с данными квартальной отчетности, проверка правильности и обоснованности числящейся в бухгалтерском учете задолженности.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3.9. Подлинники первичных учетных документов, являющиеся основанием подтверждения остатков числящейся задолженности на счетах бухгалтерского учета, хранятся и подшиваются к регистрам бухгалтерского учета в порядке, установленном приказом № 157н.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t>4. Порядок документального оформления</w:t>
      </w:r>
    </w:p>
    <w:p>
      <w:pPr>
        <w:pStyle w:val="ListParagraph"/>
        <w:spacing w:lineRule="auto" w:line="240" w:before="0" w:after="0"/>
        <w:ind w:left="0" w:hanging="0"/>
        <w:contextualSpacing/>
        <w:jc w:val="center"/>
        <w:rPr>
          <w:rFonts w:ascii="Times New Roman" w:hAnsi="Times New Roman" w:cs="Times New Roman"/>
          <w:sz w:val="28"/>
          <w:szCs w:val="28"/>
        </w:rPr>
      </w:pPr>
      <w:r>
        <w:rPr>
          <w:rFonts w:cs="Times New Roman" w:ascii="Times New Roman" w:hAnsi="Times New Roman"/>
          <w:sz w:val="28"/>
          <w:szCs w:val="28"/>
        </w:rPr>
        <w:t>результатов инвентаризации.</w:t>
      </w:r>
    </w:p>
    <w:p>
      <w:pPr>
        <w:pStyle w:val="Normal"/>
        <w:spacing w:lineRule="auto" w:line="240" w:before="0" w:after="0"/>
        <w:ind w:firstLine="709"/>
        <w:jc w:val="center"/>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spacing w:lineRule="auto" w:line="240" w:before="0" w:after="0"/>
        <w:ind w:firstLine="709"/>
        <w:jc w:val="both"/>
        <w:outlineLvl w:val="0"/>
        <w:rPr>
          <w:rFonts w:ascii="Times New Roman" w:hAnsi="Times New Roman" w:cs="Times New Roman"/>
          <w:sz w:val="28"/>
          <w:szCs w:val="28"/>
        </w:rPr>
      </w:pPr>
      <w:r>
        <w:rPr>
          <w:rFonts w:eastAsia="Calibri" w:cs="Times New Roman" w:ascii="Times New Roman" w:hAnsi="Times New Roman"/>
          <w:sz w:val="28"/>
          <w:szCs w:val="28"/>
        </w:rPr>
        <w:t xml:space="preserve">4.1. Для оформления результатов инвентаризации </w:t>
      </w:r>
      <w:r>
        <w:rPr>
          <w:rFonts w:cs="Times New Roman" w:ascii="Times New Roman" w:hAnsi="Times New Roman"/>
          <w:sz w:val="28"/>
          <w:szCs w:val="28"/>
        </w:rPr>
        <w:t>активов, обязательств и иных объектов бухгалтерского учета</w:t>
      </w:r>
      <w:r>
        <w:rPr>
          <w:rFonts w:eastAsia="Calibri" w:cs="Times New Roman" w:ascii="Times New Roman" w:hAnsi="Times New Roman"/>
          <w:sz w:val="28"/>
          <w:szCs w:val="28"/>
        </w:rPr>
        <w:t xml:space="preserve"> применяются формы, утвержденные </w:t>
      </w:r>
      <w:r>
        <w:rPr>
          <w:rFonts w:cs="Times New Roman" w:ascii="Times New Roman" w:hAnsi="Times New Roman"/>
          <w:sz w:val="28"/>
          <w:szCs w:val="28"/>
        </w:rPr>
        <w:t>приказом № 52н.</w:t>
      </w:r>
    </w:p>
    <w:p>
      <w:pPr>
        <w:pStyle w:val="Normal"/>
        <w:numPr>
          <w:ilvl w:val="0"/>
          <w:numId w:val="0"/>
        </w:numPr>
        <w:spacing w:lineRule="auto" w:line="240" w:before="0" w:after="0"/>
        <w:ind w:firstLine="709"/>
        <w:jc w:val="both"/>
        <w:outlineLvl w:val="0"/>
        <w:rPr>
          <w:rFonts w:ascii="Times New Roman" w:hAnsi="Times New Roman" w:eastAsia="Calibri" w:cs="Times New Roman"/>
          <w:sz w:val="28"/>
          <w:szCs w:val="28"/>
        </w:rPr>
      </w:pPr>
      <w:r>
        <w:rPr>
          <w:rFonts w:eastAsia="Calibri" w:cs="Times New Roman" w:ascii="Times New Roman" w:hAnsi="Times New Roman"/>
          <w:sz w:val="28"/>
          <w:szCs w:val="28"/>
        </w:rPr>
        <w:t xml:space="preserve">4.2. Инвентаризационные описи формируются по объектам учета (видам расчетов), кодам (номерам) счетов бухгалтерского учета и </w:t>
      </w:r>
      <w:r>
        <w:rPr>
          <w:rFonts w:cs="Times New Roman" w:ascii="Times New Roman" w:hAnsi="Times New Roman"/>
          <w:sz w:val="28"/>
          <w:szCs w:val="28"/>
        </w:rPr>
        <w:t>видам деятельности,</w:t>
      </w:r>
      <w:r>
        <w:rPr>
          <w:rFonts w:eastAsia="Calibri" w:cs="Times New Roman" w:ascii="Times New Roman" w:hAnsi="Times New Roman"/>
          <w:sz w:val="28"/>
          <w:szCs w:val="28"/>
        </w:rPr>
        <w:t xml:space="preserve"> на их основании составляется акт о результатах инвентаризации (код формы по ОКУД 0504835).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4.3. Инвентаризационные описи квартальной инвентаризации активов, обязательств и иных объектов бухгалтерского учета</w:t>
      </w:r>
      <w:r>
        <w:rPr>
          <w:rFonts w:eastAsia="Calibri" w:cs="Times New Roman" w:ascii="Times New Roman" w:hAnsi="Times New Roman"/>
          <w:sz w:val="28"/>
          <w:szCs w:val="28"/>
        </w:rPr>
        <w:t xml:space="preserve"> </w:t>
      </w:r>
      <w:r>
        <w:rPr>
          <w:rFonts w:cs="Times New Roman" w:ascii="Times New Roman" w:hAnsi="Times New Roman"/>
          <w:sz w:val="28"/>
          <w:szCs w:val="28"/>
        </w:rPr>
        <w:t>являются регистрами бухгалтерского учета и подтверждают данные о состоянии расчетов по дебиторской и кредиторской задолженности, содержащиеся в формах квартальной отчетности (код формы по ОКУД 0503169 «Сведения о дебиторской и кредиторской задолженности»).</w:t>
      </w:r>
    </w:p>
    <w:p>
      <w:pPr>
        <w:pStyle w:val="Normal"/>
        <w:numPr>
          <w:ilvl w:val="0"/>
          <w:numId w:val="0"/>
        </w:numPr>
        <w:spacing w:lineRule="auto" w:line="240" w:before="0" w:after="0"/>
        <w:ind w:firstLine="709"/>
        <w:jc w:val="both"/>
        <w:outlineLvl w:val="0"/>
        <w:rPr>
          <w:rFonts w:ascii="Times New Roman" w:hAnsi="Times New Roman" w:cs="Times New Roman"/>
          <w:sz w:val="28"/>
          <w:szCs w:val="28"/>
        </w:rPr>
      </w:pPr>
      <w:r>
        <w:rPr>
          <w:rFonts w:eastAsia="Calibri" w:cs="Times New Roman" w:ascii="Times New Roman" w:hAnsi="Times New Roman"/>
          <w:sz w:val="28"/>
          <w:szCs w:val="28"/>
        </w:rPr>
        <w:t xml:space="preserve">4.4. Инвентаризационные описи по обеспечению исполнения обязательств </w:t>
      </w:r>
      <w:r>
        <w:rPr>
          <w:rFonts w:cs="Times New Roman" w:ascii="Times New Roman" w:hAnsi="Times New Roman"/>
          <w:sz w:val="28"/>
          <w:szCs w:val="28"/>
        </w:rPr>
        <w:t>формируются по коду формы по ОКУД 0504085.</w:t>
      </w:r>
    </w:p>
    <w:p>
      <w:pPr>
        <w:pStyle w:val="Normal"/>
        <w:numPr>
          <w:ilvl w:val="0"/>
          <w:numId w:val="0"/>
        </w:numPr>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4.5. </w:t>
      </w:r>
      <w:r>
        <w:rPr>
          <w:rFonts w:eastAsia="Calibri" w:cs="Times New Roman" w:ascii="Times New Roman" w:hAnsi="Times New Roman"/>
          <w:sz w:val="28"/>
          <w:szCs w:val="28"/>
        </w:rPr>
        <w:t xml:space="preserve">В случае выявления расхождений по результатам инвентаризации </w:t>
      </w:r>
      <w:r>
        <w:rPr>
          <w:rFonts w:cs="Times New Roman" w:ascii="Times New Roman" w:hAnsi="Times New Roman"/>
          <w:sz w:val="28"/>
          <w:szCs w:val="28"/>
        </w:rPr>
        <w:t xml:space="preserve">активов, обязательств и иных объектов бухгалтерского учета </w:t>
      </w:r>
      <w:r>
        <w:rPr>
          <w:rFonts w:eastAsia="Calibri" w:cs="Times New Roman" w:ascii="Times New Roman" w:hAnsi="Times New Roman"/>
          <w:sz w:val="28"/>
          <w:szCs w:val="28"/>
        </w:rPr>
        <w:t xml:space="preserve">составляется ведомость расхождений по результатам инвентаризации </w:t>
      </w:r>
      <w:hyperlink r:id="rId3">
        <w:r>
          <w:rPr>
            <w:rFonts w:cs="Times New Roman" w:ascii="Times New Roman" w:hAnsi="Times New Roman"/>
            <w:sz w:val="28"/>
            <w:szCs w:val="28"/>
          </w:rPr>
          <w:t>(код формы по ОКУД 0504092)</w:t>
        </w:r>
      </w:hyperlink>
      <w:r>
        <w:rPr>
          <w:rFonts w:cs="Times New Roman" w:ascii="Times New Roman" w:hAnsi="Times New Roman"/>
          <w:sz w:val="28"/>
          <w:szCs w:val="28"/>
        </w:rPr>
        <w:t xml:space="preserve"> (далее – ведомость расхождений), где обобщается информация об установленных расхождениях с данными бухгалтерского учета, а также объектах бухгалтерского учета, по которым установлено их несоответствие условиям признания актива.</w:t>
      </w:r>
    </w:p>
    <w:p>
      <w:pPr>
        <w:pStyle w:val="Normal"/>
        <w:numPr>
          <w:ilvl w:val="0"/>
          <w:numId w:val="0"/>
        </w:numPr>
        <w:spacing w:lineRule="auto" w:line="240" w:before="0" w:after="0"/>
        <w:ind w:firstLine="709"/>
        <w:jc w:val="both"/>
        <w:outlineLvl w:val="0"/>
        <w:rPr>
          <w:rFonts w:ascii="Times New Roman" w:hAnsi="Times New Roman" w:eastAsia="Calibri" w:cs="Times New Roman"/>
          <w:sz w:val="28"/>
          <w:szCs w:val="28"/>
        </w:rPr>
      </w:pPr>
      <w:r>
        <w:rPr>
          <w:rFonts w:cs="Times New Roman" w:ascii="Times New Roman" w:hAnsi="Times New Roman"/>
          <w:sz w:val="28"/>
          <w:szCs w:val="28"/>
        </w:rPr>
        <w:t>4.6. Инвентаризационные описи, акты о результатах инвентаризации, ведомость расхождений составляются в двух экземплярах, первый экземпляр с прилагающимися подтверждающими документами передается</w:t>
      </w:r>
      <w:r>
        <w:rPr>
          <w:rFonts w:eastAsia="Calibri" w:cs="Times New Roman" w:ascii="Times New Roman" w:hAnsi="Times New Roman"/>
          <w:sz w:val="28"/>
          <w:szCs w:val="28"/>
        </w:rPr>
        <w:t xml:space="preserve"> в финансовый отдел, второй находится на хранении у МОЛ. </w:t>
      </w:r>
    </w:p>
    <w:p>
      <w:pPr>
        <w:pStyle w:val="Normal"/>
        <w:numPr>
          <w:ilvl w:val="0"/>
          <w:numId w:val="0"/>
        </w:numPr>
        <w:spacing w:lineRule="auto" w:line="240" w:before="0" w:after="0"/>
        <w:ind w:firstLine="709"/>
        <w:jc w:val="both"/>
        <w:outlineLvl w:val="0"/>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Порядок проведения внеплановых инвентаризаций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при смене МОЛ.</w:t>
      </w:r>
    </w:p>
    <w:p>
      <w:pPr>
        <w:pStyle w:val="Normal"/>
        <w:spacing w:lineRule="auto" w:line="240" w:before="0" w:after="0"/>
        <w:ind w:firstLine="709"/>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5.1. Подготовка и согласование распоряжения о проведении внеплановой инвентаризации при смене МОЛ закрепляется за секретарем инвентаризационной комиссии.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После подписания распоряжения секретарь уведомляет инвентаризационную комиссию о дате месте и времени проведения внеплановой инвентаризации.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5.2. При смене МОЛ инвентаризация проводится в день приема-передачи дел.</w:t>
      </w:r>
    </w:p>
    <w:p>
      <w:pPr>
        <w:pStyle w:val="Normal"/>
        <w:numPr>
          <w:ilvl w:val="0"/>
          <w:numId w:val="0"/>
        </w:numPr>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5.3. До пересчета бланков строгой отчетности МОЛ формирует оборотно-сальдовые ведомости по забалансовому счету 03 – «Бланки строгой отчетности», в которых содержатся данные об остатках, а также предоставляет членам комиссии книгу по учету бланков строгой отчетности.</w:t>
      </w:r>
    </w:p>
    <w:p>
      <w:pPr>
        <w:pStyle w:val="ConsPlusNormal"/>
        <w:ind w:firstLine="709"/>
        <w:jc w:val="both"/>
        <w:rPr>
          <w:rFonts w:ascii="Times New Roman" w:hAnsi="Times New Roman" w:eastAsia="Calibri" w:cs="Times New Roman" w:eastAsiaTheme="minorHAnsi"/>
          <w:sz w:val="28"/>
          <w:szCs w:val="28"/>
          <w:lang w:eastAsia="en-US"/>
        </w:rPr>
      </w:pPr>
      <w:r>
        <w:rPr>
          <w:rFonts w:eastAsia="Calibri" w:cs="Times New Roman" w:ascii="Times New Roman" w:hAnsi="Times New Roman" w:eastAsiaTheme="minorHAnsi"/>
          <w:sz w:val="28"/>
          <w:szCs w:val="28"/>
          <w:lang w:eastAsia="en-US"/>
        </w:rPr>
        <w:t xml:space="preserve">5.4. Фактическое количество бланков строгой отчетности сверяется по видам бланков, с учетом начальных и конечных номеров с данными, </w:t>
      </w:r>
      <w:r>
        <w:rPr>
          <w:rFonts w:cs="Times New Roman" w:ascii="Times New Roman" w:hAnsi="Times New Roman"/>
          <w:sz w:val="28"/>
          <w:szCs w:val="28"/>
        </w:rPr>
        <w:t>содержащимися в книге по учету бланков строгой отчетности</w:t>
      </w:r>
      <w:r>
        <w:rPr>
          <w:rFonts w:eastAsia="Calibri" w:cs="Times New Roman" w:ascii="Times New Roman" w:hAnsi="Times New Roman" w:eastAsiaTheme="minorHAnsi"/>
          <w:sz w:val="28"/>
          <w:szCs w:val="28"/>
          <w:lang w:eastAsia="en-US"/>
        </w:rPr>
        <w:t xml:space="preserve"> и данными бухгалтерского учета, отраженными на забалансовом счете 03 «Бланки строгой отчетности» (</w:t>
      </w:r>
      <w:r>
        <w:rPr>
          <w:rFonts w:cs="Times New Roman" w:ascii="Times New Roman" w:hAnsi="Times New Roman"/>
          <w:sz w:val="28"/>
          <w:szCs w:val="28"/>
        </w:rPr>
        <w:t>оборотно-сальдовая ведомость)</w:t>
      </w:r>
      <w:r>
        <w:rPr>
          <w:rFonts w:eastAsia="Calibri" w:cs="Times New Roman" w:ascii="Times New Roman" w:hAnsi="Times New Roman" w:eastAsiaTheme="minorHAnsi"/>
          <w:sz w:val="28"/>
          <w:szCs w:val="28"/>
          <w:lang w:eastAsia="en-US"/>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5.5. В ходе инвентаризации при смене МОЛ инвентаризационная комиссия, составляет: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инвентаризационную опись (сличительную ведомость) бланков строгой отчетности (код формы по ОКУД 0504086);</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акт о результатах инвентаризации (код формы по ОКУД 0504835).</w:t>
      </w:r>
    </w:p>
    <w:p>
      <w:pPr>
        <w:pStyle w:val="ConsPlusNormal"/>
        <w:ind w:firstLine="709"/>
        <w:jc w:val="both"/>
        <w:rPr>
          <w:rFonts w:ascii="Times New Roman" w:hAnsi="Times New Roman" w:eastAsia="Calibri" w:cs="Times New Roman" w:eastAsiaTheme="minorHAnsi"/>
          <w:sz w:val="28"/>
          <w:szCs w:val="28"/>
          <w:lang w:eastAsia="en-US"/>
        </w:rPr>
      </w:pPr>
      <w:r>
        <w:rPr>
          <w:rFonts w:cs="Times New Roman" w:ascii="Times New Roman" w:hAnsi="Times New Roman"/>
          <w:sz w:val="28"/>
          <w:szCs w:val="28"/>
        </w:rPr>
        <w:t xml:space="preserve">Перечисленные документы составляются </w:t>
      </w:r>
      <w:r>
        <w:rPr>
          <w:rFonts w:eastAsia="Calibri" w:cs="Times New Roman" w:ascii="Times New Roman" w:hAnsi="Times New Roman" w:eastAsiaTheme="minorHAnsi"/>
          <w:sz w:val="28"/>
          <w:szCs w:val="28"/>
          <w:lang w:eastAsia="en-US"/>
        </w:rPr>
        <w:t>в двух экземплярах. Один экземпляр передается в финансовый отдел, последующий МОЛ.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5.6. Инвентаризационные описи содержат расписки МОЛ о том, что бланки строгой отчетности на момент инвентаризации оприходованы и находятся на ответственном хранении МОЛ. Кроме того, инвентаризационные описи содержат информацию о результатах инвентаризации бланков строгой отчетности, заключение комиссии о причине смены МОЛ, периоде, на который осуществляется передача, а также подписи передающей и принимающей сторон.</w:t>
      </w:r>
    </w:p>
    <w:p>
      <w:pPr>
        <w:pStyle w:val="ConsPlusNormal"/>
        <w:ind w:firstLine="709"/>
        <w:jc w:val="both"/>
        <w:rPr>
          <w:rFonts w:ascii="Times New Roman" w:hAnsi="Times New Roman" w:eastAsia="Calibri" w:cs="Times New Roman" w:eastAsiaTheme="minorHAnsi"/>
          <w:sz w:val="28"/>
          <w:szCs w:val="28"/>
          <w:lang w:eastAsia="en-US"/>
        </w:rPr>
      </w:pPr>
      <w:r>
        <w:rPr>
          <w:rFonts w:cs="Times New Roman" w:ascii="Times New Roman" w:hAnsi="Times New Roman"/>
          <w:sz w:val="28"/>
          <w:szCs w:val="28"/>
        </w:rPr>
        <w:t>5.7. Результаты инвентаризации фактического наличия бланков строгой отчетности оформляются актом о результатах инвентаризации (код формы по ОКУД 0504835).</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5.8. Акт о результатах инвентаризации (код формы по ОКУД 0504835) устанавливает следующее: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полноту и своевременность отражения в бухгалтерском учете бланков строгой отчетности.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5.9. Во время проведения инвентаризации при смене МОЛ, операции по приему и выдаче ценностей не производятся.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pacing w:lineRule="auto" w:line="240" w:before="0" w:after="0"/>
        <w:jc w:val="both"/>
        <w:rPr>
          <w:rFonts w:ascii="Times New Roman" w:hAnsi="Times New Roman"/>
          <w:color w:val="000000"/>
          <w:spacing w:val="-2"/>
          <w:sz w:val="28"/>
          <w:szCs w:val="28"/>
        </w:rPr>
      </w:pPr>
      <w:r>
        <w:rPr>
          <w:rFonts w:ascii="Times New Roman" w:hAnsi="Times New Roman"/>
          <w:color w:val="000000"/>
          <w:spacing w:val="-2"/>
          <w:sz w:val="28"/>
          <w:szCs w:val="28"/>
        </w:rPr>
        <w:t>Начальник финансового отдела</w:t>
      </w:r>
    </w:p>
    <w:p>
      <w:pPr>
        <w:pStyle w:val="Normal"/>
        <w:shd w:val="clear" w:color="auto" w:fill="FFFFFF"/>
        <w:spacing w:lineRule="auto" w:line="240" w:before="0" w:after="0"/>
        <w:rPr>
          <w:rFonts w:ascii="Times New Roman" w:hAnsi="Times New Roman"/>
          <w:color w:val="000000"/>
          <w:spacing w:val="-2"/>
          <w:sz w:val="28"/>
          <w:szCs w:val="28"/>
        </w:rPr>
      </w:pPr>
      <w:r>
        <w:rPr>
          <w:rFonts w:ascii="Times New Roman" w:hAnsi="Times New Roman"/>
          <w:color w:val="000000"/>
          <w:spacing w:val="-2"/>
          <w:sz w:val="28"/>
          <w:szCs w:val="28"/>
        </w:rPr>
        <w:t>администрации Кавказского</w:t>
      </w:r>
    </w:p>
    <w:p>
      <w:pPr>
        <w:pStyle w:val="Normal"/>
        <w:shd w:val="clear" w:color="auto" w:fill="FFFFFF"/>
        <w:spacing w:lineRule="auto" w:line="240" w:before="0" w:after="0"/>
        <w:rPr>
          <w:rFonts w:ascii="Times New Roman" w:hAnsi="Times New Roman"/>
          <w:color w:val="000000"/>
          <w:spacing w:val="-2"/>
          <w:sz w:val="28"/>
          <w:szCs w:val="28"/>
        </w:rPr>
      </w:pPr>
      <w:r>
        <w:rPr>
          <w:rFonts w:ascii="Times New Roman" w:hAnsi="Times New Roman"/>
          <w:color w:val="000000"/>
          <w:spacing w:val="-2"/>
          <w:sz w:val="28"/>
          <w:szCs w:val="28"/>
        </w:rPr>
        <w:t xml:space="preserve">сельского поселения                                </w:t>
      </w:r>
      <w:bookmarkStart w:id="1" w:name="_GoBack"/>
      <w:bookmarkEnd w:id="1"/>
      <w:r>
        <w:rPr>
          <w:rFonts w:ascii="Times New Roman" w:hAnsi="Times New Roman"/>
          <w:color w:val="000000"/>
          <w:spacing w:val="-2"/>
          <w:sz w:val="28"/>
          <w:szCs w:val="28"/>
        </w:rPr>
        <w:t xml:space="preserve">                                                 Е.П. Лихолет</w:t>
      </w:r>
    </w:p>
    <w:p>
      <w:pPr>
        <w:pStyle w:val="Normal"/>
        <w:spacing w:lineRule="auto" w:line="240" w:before="0" w:after="0"/>
        <w:ind w:firstLine="709"/>
        <w:jc w:val="both"/>
        <w:rPr>
          <w:rFonts w:ascii="Times New Roman" w:hAnsi="Times New Roman" w:cs="Times New Roman"/>
          <w:sz w:val="28"/>
          <w:szCs w:val="28"/>
        </w:rPr>
      </w:pPr>
      <w:r>
        <w:rPr/>
      </w:r>
    </w:p>
    <w:sectPr>
      <w:headerReference w:type="default" r:id="rId4"/>
      <w:headerReference w:type="first" r:id="rId5"/>
      <w:type w:val="nextPage"/>
      <w:pgSz w:w="11906" w:h="16838"/>
      <w:pgMar w:left="1701" w:right="567" w:header="709" w:top="1134" w:footer="0"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907944022"/>
    </w:sdtPr>
    <w:sdtContent>
      <w:p>
        <w:pPr>
          <w:pStyle w:val="Style25"/>
          <w:jc w:val="center"/>
          <w:rPr/>
        </w:pPr>
        <w:r>
          <w:rPr>
            <w:rFonts w:cs="Times New Roman" w:ascii="Times New Roman" w:hAnsi="Times New Roman"/>
            <w:sz w:val="28"/>
            <w:szCs w:val="28"/>
          </w:rPr>
          <w:fldChar w:fldCharType="begin"/>
        </w:r>
        <w:r>
          <w:rPr>
            <w:sz w:val="28"/>
            <w:szCs w:val="28"/>
            <w:rFonts w:cs="Times New Roman" w:ascii="Times New Roman" w:hAnsi="Times New Roman"/>
          </w:rPr>
          <w:instrText> PAGE </w:instrText>
        </w:r>
        <w:r>
          <w:rPr>
            <w:sz w:val="28"/>
            <w:szCs w:val="28"/>
            <w:rFonts w:cs="Times New Roman" w:ascii="Times New Roman" w:hAnsi="Times New Roman"/>
          </w:rPr>
          <w:fldChar w:fldCharType="separate"/>
        </w:r>
        <w:r>
          <w:rPr>
            <w:sz w:val="28"/>
            <w:szCs w:val="28"/>
            <w:rFonts w:cs="Times New Roman" w:ascii="Times New Roman" w:hAnsi="Times New Roman"/>
          </w:rPr>
          <w:t>10</w:t>
        </w:r>
        <w:r>
          <w:rPr>
            <w:sz w:val="28"/>
            <w:szCs w:val="28"/>
            <w:rFonts w:cs="Times New Roman" w:ascii="Times New Roman" w:hAnsi="Times New Roman"/>
          </w:rPr>
          <w:fldChar w:fldCharType="end"/>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4"/>
    <w:uiPriority w:val="99"/>
    <w:qFormat/>
    <w:rsid w:val="00835a4f"/>
    <w:rPr/>
  </w:style>
  <w:style w:type="character" w:styleId="Style15" w:customStyle="1">
    <w:name w:val="Нижний колонтитул Знак"/>
    <w:basedOn w:val="DefaultParagraphFont"/>
    <w:link w:val="a6"/>
    <w:uiPriority w:val="99"/>
    <w:qFormat/>
    <w:rsid w:val="00835a4f"/>
    <w:rPr/>
  </w:style>
  <w:style w:type="character" w:styleId="Style16" w:customStyle="1">
    <w:name w:val="Текст выноски Знак"/>
    <w:basedOn w:val="DefaultParagraphFont"/>
    <w:link w:val="a8"/>
    <w:uiPriority w:val="99"/>
    <w:semiHidden/>
    <w:qFormat/>
    <w:rsid w:val="005a61a5"/>
    <w:rPr>
      <w:rFonts w:ascii="Tahoma" w:hAnsi="Tahoma" w:cs="Tahoma"/>
      <w:sz w:val="16"/>
      <w:szCs w:val="16"/>
    </w:rPr>
  </w:style>
  <w:style w:type="character" w:styleId="Style17" w:customStyle="1">
    <w:name w:val="Цветовое выделение"/>
    <w:uiPriority w:val="99"/>
    <w:qFormat/>
    <w:rsid w:val="00e344f8"/>
    <w:rPr>
      <w:b/>
      <w:color w:val="26282F"/>
    </w:rPr>
  </w:style>
  <w:style w:type="character" w:styleId="Style18">
    <w:name w:val="Интернет-ссылка"/>
    <w:rPr>
      <w:color w:val="000080"/>
      <w:u w:val="single"/>
      <w:lang w:val="zxx" w:eastAsia="zxx" w:bidi="zxx"/>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ListParagraph">
    <w:name w:val="List Paragraph"/>
    <w:basedOn w:val="Normal"/>
    <w:uiPriority w:val="34"/>
    <w:qFormat/>
    <w:rsid w:val="006f044a"/>
    <w:pPr>
      <w:spacing w:before="0" w:after="200"/>
      <w:ind w:left="720" w:hanging="0"/>
      <w:contextualSpacing/>
    </w:pPr>
    <w:rPr/>
  </w:style>
  <w:style w:type="paragraph" w:styleId="ConsPlusNormal" w:customStyle="1">
    <w:name w:val="ConsPlusNormal"/>
    <w:qFormat/>
    <w:rsid w:val="00ff04e9"/>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eastAsia="ru-RU" w:val="ru-RU" w:bidi="ar-SA"/>
    </w:rPr>
  </w:style>
  <w:style w:type="paragraph" w:styleId="Style24">
    <w:name w:val="Верхний и нижний колонтитулы"/>
    <w:basedOn w:val="Normal"/>
    <w:qFormat/>
    <w:pPr/>
    <w:rPr/>
  </w:style>
  <w:style w:type="paragraph" w:styleId="Style25">
    <w:name w:val="Header"/>
    <w:basedOn w:val="Normal"/>
    <w:link w:val="a5"/>
    <w:uiPriority w:val="99"/>
    <w:unhideWhenUsed/>
    <w:rsid w:val="00835a4f"/>
    <w:pPr>
      <w:tabs>
        <w:tab w:val="clear" w:pos="708"/>
        <w:tab w:val="center" w:pos="4677" w:leader="none"/>
        <w:tab w:val="right" w:pos="9355" w:leader="none"/>
      </w:tabs>
      <w:spacing w:lineRule="auto" w:line="240" w:before="0" w:after="0"/>
    </w:pPr>
    <w:rPr/>
  </w:style>
  <w:style w:type="paragraph" w:styleId="Style26">
    <w:name w:val="Footer"/>
    <w:basedOn w:val="Normal"/>
    <w:link w:val="a7"/>
    <w:uiPriority w:val="99"/>
    <w:unhideWhenUsed/>
    <w:rsid w:val="00835a4f"/>
    <w:pPr>
      <w:tabs>
        <w:tab w:val="clear" w:pos="708"/>
        <w:tab w:val="center" w:pos="4677" w:leader="none"/>
        <w:tab w:val="right" w:pos="9355" w:leader="none"/>
      </w:tabs>
      <w:spacing w:lineRule="auto" w:line="240" w:before="0" w:after="0"/>
    </w:pPr>
    <w:rPr/>
  </w:style>
  <w:style w:type="paragraph" w:styleId="BalloonText">
    <w:name w:val="Balloon Text"/>
    <w:basedOn w:val="Normal"/>
    <w:link w:val="a9"/>
    <w:uiPriority w:val="99"/>
    <w:semiHidden/>
    <w:unhideWhenUsed/>
    <w:qFormat/>
    <w:rsid w:val="005a61a5"/>
    <w:pPr>
      <w:spacing w:lineRule="auto" w:line="240" w:before="0" w:after="0"/>
    </w:pPr>
    <w:rPr>
      <w:rFonts w:ascii="Tahoma" w:hAnsi="Tahoma" w:cs="Tahoma"/>
      <w:sz w:val="16"/>
      <w:szCs w:val="16"/>
    </w:rPr>
  </w:style>
  <w:style w:type="paragraph" w:styleId="ConsPlusNonformat" w:customStyle="1">
    <w:name w:val="ConsPlusNonformat"/>
    <w:uiPriority w:val="99"/>
    <w:qFormat/>
    <w:rsid w:val="0027375c"/>
    <w:pPr>
      <w:widowControl/>
      <w:bidi w:val="0"/>
      <w:spacing w:lineRule="auto" w:line="240" w:before="0" w:after="0"/>
      <w:jc w:val="left"/>
    </w:pPr>
    <w:rPr>
      <w:rFonts w:ascii="Courier New" w:hAnsi="Courier New" w:eastAsia="Calibri" w:cs="Courier New" w:eastAsiaTheme="minorHAnsi"/>
      <w:color w:val="auto"/>
      <w:kern w:val="0"/>
      <w:sz w:val="20"/>
      <w:szCs w:val="20"/>
      <w:lang w:eastAsia="ru-RU"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1FE30426289BD57D8F1FBD002278BC4C3F9EA861CA22D4E6E5FFA97090B540D661049B8F426EFBBERDU5F" TargetMode="External"/><Relationship Id="rId3" Type="http://schemas.openxmlformats.org/officeDocument/2006/relationships/hyperlink" Target="consultantplus://offline/ref=0208C2408A68FD9C6BF90751F449D30771DFBC39C31F1E5708A2F3D963BB5409C70F49BC4D915481m6FFE"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D14D2-2497-4CF2-83FD-66B45D76F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3004</TotalTime>
  <Application>LibreOffice/7.1.0.3$Windows_X86_64 LibreOffice_project/f6099ecf3d29644b5008cc8f48f42f4a40986e4c</Application>
  <AppVersion>15.0000</AppVersion>
  <Pages>10</Pages>
  <Words>2771</Words>
  <Characters>20818</Characters>
  <CharactersWithSpaces>23607</CharactersWithSpaces>
  <Paragraphs>152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2018-04-28T11:59:00Z</dcterms:created>
  <dc:creator>Врублевская И.А.</dc:creator>
  <dc:description/>
  <dc:language>ru-RU</dc:language>
  <cp:lastModifiedBy/>
  <cp:lastPrinted>2021-07-19T08:58:34Z</cp:lastPrinted>
  <dcterms:modified xsi:type="dcterms:W3CDTF">2021-07-19T09:00:22Z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file>