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4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Ранжированный  перечень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 Кавказского района по значению их эффективности реализации за  201</w:t>
      </w:r>
      <w:r>
        <w:rPr>
          <w:rFonts w:cs="Times New Roman" w:ascii="Times New Roman" w:hAnsi="Times New Roman"/>
          <w:sz w:val="28"/>
          <w:szCs w:val="28"/>
        </w:rPr>
        <w:t>7</w:t>
      </w:r>
      <w:r>
        <w:rPr>
          <w:rFonts w:cs="Times New Roman" w:ascii="Times New Roman" w:hAnsi="Times New Roman"/>
          <w:sz w:val="28"/>
          <w:szCs w:val="28"/>
        </w:rPr>
        <w:t xml:space="preserve"> год</w:t>
      </w:r>
    </w:p>
    <w:tbl>
      <w:tblPr>
        <w:tblStyle w:val="a3"/>
        <w:tblW w:w="10065" w:type="dxa"/>
        <w:jc w:val="left"/>
        <w:tblInd w:w="-475" w:type="dxa"/>
        <w:tblCellMar>
          <w:top w:w="0" w:type="dxa"/>
          <w:left w:w="93" w:type="dxa"/>
          <w:bottom w:w="0" w:type="dxa"/>
          <w:right w:w="108" w:type="dxa"/>
        </w:tblCellMar>
      </w:tblPr>
      <w:tblGrid>
        <w:gridCol w:w="565"/>
        <w:gridCol w:w="5956"/>
        <w:gridCol w:w="1700"/>
        <w:gridCol w:w="1843"/>
      </w:tblGrid>
      <w:tr>
        <w:trPr/>
        <w:tc>
          <w:tcPr>
            <w:tcW w:w="565" w:type="dxa"/>
            <w:vMerge w:val="restart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956" w:type="dxa"/>
            <w:vMerge w:val="restart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543" w:type="dxa"/>
            <w:gridSpan w:val="2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Степень эффективности реализации  муниципальной программы</w:t>
            </w:r>
          </w:p>
        </w:tc>
      </w:tr>
      <w:tr>
        <w:trPr/>
        <w:tc>
          <w:tcPr>
            <w:tcW w:w="565" w:type="dxa"/>
            <w:vMerge w:val="continue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956" w:type="dxa"/>
            <w:vMerge w:val="continue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Коэффциент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(ЭРмп)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степень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4"/>
                <w:szCs w:val="24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0,9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0,85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средняя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0,84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средняя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  <w:rPr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56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7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  <w:tr>
        <w:trPr/>
        <w:tc>
          <w:tcPr>
            <w:tcW w:w="565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956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1700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0,98</w:t>
            </w:r>
          </w:p>
        </w:tc>
        <w:tc>
          <w:tcPr>
            <w:tcW w:w="1843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высокая</w:t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sub_1082"/>
      <w:bookmarkEnd w:id="0"/>
      <w:r>
        <w:rPr>
          <w:rFonts w:ascii="Times New Roman" w:hAnsi="Times New Roman"/>
          <w:sz w:val="24"/>
          <w:szCs w:val="24"/>
        </w:rPr>
        <w:t>* Эффективность реализации муниципальной программы признается высокой в случае, если значение ЭРмп составляет не менее 0,90.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**Эффективность реализации муниципальной программы признается средней в случае, если значение ЭРмп, составляет не менее 0,80.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***Эффективность реализации муниципальной программы признается удовлетворительной в случае, если значение ЭРмп составляет не менее 0,70.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****В остальных случаях эффективность реализации муниципальной программы признается неудовлетворительной.</w:t>
      </w:r>
    </w:p>
    <w:sectPr>
      <w:type w:val="nextPage"/>
      <w:pgSz w:w="11906" w:h="16838"/>
      <w:pgMar w:left="1418" w:right="850" w:header="0" w:top="851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Heading 1"/>
    <w:basedOn w:val="Style11"/>
    <w:qFormat/>
    <w:pPr/>
    <w:rPr/>
  </w:style>
  <w:style w:type="paragraph" w:styleId="2">
    <w:name w:val="Heading 2"/>
    <w:basedOn w:val="Style11"/>
    <w:qFormat/>
    <w:pPr/>
    <w:rPr/>
  </w:style>
  <w:style w:type="paragraph" w:styleId="3">
    <w:name w:val="Heading 3"/>
    <w:basedOn w:val="Style11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2">
    <w:name w:val="Body Text"/>
    <w:basedOn w:val="Normal"/>
    <w:pPr>
      <w:spacing w:lineRule="auto" w:line="288" w:before="0" w:after="140"/>
    </w:pPr>
    <w:rPr/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1">
    <w:name w:val="TOC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6">
    <w:name w:val="Содержимое таблицы"/>
    <w:basedOn w:val="Normal"/>
    <w:qFormat/>
    <w:pPr/>
    <w:rPr/>
  </w:style>
  <w:style w:type="paragraph" w:styleId="Style17">
    <w:name w:val="Заголовок таблицы"/>
    <w:basedOn w:val="Style16"/>
    <w:qFormat/>
    <w:pPr/>
    <w:rPr/>
  </w:style>
  <w:style w:type="paragraph" w:styleId="Style18">
    <w:name w:val="Блочная цитата"/>
    <w:basedOn w:val="Normal"/>
    <w:qFormat/>
    <w:pPr/>
    <w:rPr/>
  </w:style>
  <w:style w:type="paragraph" w:styleId="Style19">
    <w:name w:val="Title"/>
    <w:basedOn w:val="Style11"/>
    <w:qFormat/>
    <w:pPr/>
    <w:rPr/>
  </w:style>
  <w:style w:type="paragraph" w:styleId="Style20">
    <w:name w:val="Subtitle"/>
    <w:basedOn w:val="Style1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Application>LibreOffice/5.2.2.2$Windows_x86 LibreOffice_project/8f96e87c890bf8fa77463cd4b640a2312823f3ad</Application>
  <Pages>1</Pages>
  <Words>197</Words>
  <Characters>1491</Characters>
  <CharactersWithSpaces>1635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description/>
  <dc:language>ru-RU</dc:language>
  <cp:lastModifiedBy/>
  <cp:lastPrinted>2016-07-05T17:38:15Z</cp:lastPrinted>
  <dcterms:modified xsi:type="dcterms:W3CDTF">2018-05-18T10:16:16Z</dcterms:modified>
  <cp:revision>84</cp:revision>
  <dc:subject/>
  <dc:title/>
</cp:coreProperties>
</file>